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4245" w14:textId="7C8573C9" w:rsidR="0064370E" w:rsidRPr="00E17203" w:rsidRDefault="00220308" w:rsidP="0064370E">
      <w:pPr>
        <w:pStyle w:val="NormalWeb"/>
        <w:rPr>
          <w:rFonts w:ascii="Arial" w:hAnsi="Arial" w:cs="Arial"/>
          <w:color w:val="000000"/>
          <w:sz w:val="40"/>
          <w:szCs w:val="40"/>
        </w:rPr>
      </w:pPr>
      <w:r>
        <w:rPr>
          <w:rFonts w:ascii="Arial" w:hAnsi="Arial"/>
          <w:color w:val="000000" w:themeColor="text1"/>
          <w:sz w:val="40"/>
          <w:szCs w:val="40"/>
        </w:rPr>
        <w:t xml:space="preserve">Guidelines for </w:t>
      </w:r>
      <w:r w:rsidR="00523C47">
        <w:rPr>
          <w:rFonts w:ascii="Arial" w:hAnsi="Arial"/>
          <w:color w:val="000000" w:themeColor="text1"/>
          <w:sz w:val="40"/>
          <w:szCs w:val="40"/>
        </w:rPr>
        <w:t xml:space="preserve">the </w:t>
      </w:r>
      <w:r>
        <w:rPr>
          <w:rFonts w:ascii="Arial" w:hAnsi="Arial"/>
          <w:color w:val="000000" w:themeColor="text1"/>
          <w:sz w:val="40"/>
          <w:szCs w:val="40"/>
        </w:rPr>
        <w:t>assessment of expertise in connection with appointment and promotion to professor and associate professor positions at OsloMet</w:t>
      </w:r>
    </w:p>
    <w:p w14:paraId="3EAFBF7B" w14:textId="3CBC4F8F" w:rsidR="665390D1" w:rsidRDefault="665390D1" w:rsidP="6C3C28DC">
      <w:pPr>
        <w:pStyle w:val="NormalWeb"/>
        <w:rPr>
          <w:rFonts w:ascii="Arial" w:eastAsia="Arial" w:hAnsi="Arial" w:cs="Arial"/>
        </w:rPr>
      </w:pPr>
      <w:r>
        <w:rPr>
          <w:rFonts w:ascii="Arial" w:hAnsi="Arial"/>
        </w:rPr>
        <w:t xml:space="preserve">The assessment of expertise for appointment and promotion is carried out </w:t>
      </w:r>
      <w:proofErr w:type="gramStart"/>
      <w:r>
        <w:rPr>
          <w:rFonts w:ascii="Arial" w:hAnsi="Arial"/>
        </w:rPr>
        <w:t>on the basis of</w:t>
      </w:r>
      <w:proofErr w:type="gramEnd"/>
      <w:r>
        <w:rPr>
          <w:rFonts w:ascii="Arial" w:hAnsi="Arial"/>
        </w:rPr>
        <w:t xml:space="preserve"> the following:</w:t>
      </w:r>
    </w:p>
    <w:p w14:paraId="32E0F09C" w14:textId="729B4086" w:rsidR="3384DC79" w:rsidRDefault="00523C47" w:rsidP="6C3C28DC">
      <w:pPr>
        <w:pStyle w:val="NormalWeb"/>
        <w:numPr>
          <w:ilvl w:val="0"/>
          <w:numId w:val="14"/>
        </w:numPr>
        <w:rPr>
          <w:rFonts w:ascii="Arial" w:eastAsia="Arial" w:hAnsi="Arial" w:cs="Arial"/>
        </w:rPr>
      </w:pPr>
      <w:r>
        <w:rPr>
          <w:rFonts w:ascii="Arial" w:hAnsi="Arial"/>
        </w:rPr>
        <w:t xml:space="preserve">The </w:t>
      </w:r>
      <w:r w:rsidR="3384DC79">
        <w:rPr>
          <w:rFonts w:ascii="Arial" w:hAnsi="Arial"/>
        </w:rPr>
        <w:t xml:space="preserve">Regulations concerning appointment and promotion to teaching and research posts (FOR-2006-02-09-129) </w:t>
      </w:r>
    </w:p>
    <w:p w14:paraId="123779F7" w14:textId="4AB088AF" w:rsidR="3384DC79" w:rsidRDefault="00523C47" w:rsidP="6C3C28DC">
      <w:pPr>
        <w:pStyle w:val="NormalWeb"/>
        <w:numPr>
          <w:ilvl w:val="0"/>
          <w:numId w:val="14"/>
        </w:numPr>
        <w:rPr>
          <w:rFonts w:ascii="Arial" w:eastAsia="Arial" w:hAnsi="Arial" w:cs="Arial"/>
        </w:rPr>
      </w:pPr>
      <w:r>
        <w:rPr>
          <w:rFonts w:ascii="Arial" w:hAnsi="Arial"/>
        </w:rPr>
        <w:t>T</w:t>
      </w:r>
      <w:r w:rsidR="3384DC79">
        <w:rPr>
          <w:rFonts w:ascii="Arial" w:hAnsi="Arial"/>
        </w:rPr>
        <w:t>he job advertisement text and position specification/job description (if it has been developed)</w:t>
      </w:r>
    </w:p>
    <w:p w14:paraId="533E4BF4" w14:textId="202BF801" w:rsidR="3384DC79" w:rsidRDefault="3384DC79" w:rsidP="6C3C28DC">
      <w:pPr>
        <w:pStyle w:val="NormalWeb"/>
        <w:numPr>
          <w:ilvl w:val="0"/>
          <w:numId w:val="14"/>
        </w:numPr>
        <w:rPr>
          <w:rFonts w:ascii="Arial" w:eastAsia="Arial" w:hAnsi="Arial" w:cs="Arial"/>
        </w:rPr>
      </w:pPr>
      <w:r>
        <w:rPr>
          <w:rFonts w:ascii="Arial" w:hAnsi="Arial"/>
        </w:rPr>
        <w:t>The Declaration on Research Assessment (DORA)</w:t>
      </w:r>
      <w:r>
        <w:br/>
      </w:r>
    </w:p>
    <w:p w14:paraId="5C9CD6ED" w14:textId="43F0FA6E" w:rsidR="00C66F75" w:rsidRDefault="00C66F75" w:rsidP="00C66F75">
      <w:pPr>
        <w:pStyle w:val="Tittel"/>
      </w:pPr>
      <w:r>
        <w:t xml:space="preserve">Guidelines for the assessment of educational competence at OsloMet </w:t>
      </w:r>
    </w:p>
    <w:p w14:paraId="07EE18F1" w14:textId="77777777" w:rsidR="00C66F75" w:rsidRDefault="00C66F75" w:rsidP="00C66F75">
      <w:pPr>
        <w:pStyle w:val="Tittel"/>
        <w:rPr>
          <w:sz w:val="24"/>
          <w:szCs w:val="24"/>
        </w:rPr>
      </w:pPr>
    </w:p>
    <w:p w14:paraId="543F9D08" w14:textId="77777777" w:rsidR="00C66F75" w:rsidRDefault="00C66F75" w:rsidP="00C66F75">
      <w:pPr>
        <w:pStyle w:val="Overskrift2"/>
        <w:numPr>
          <w:ilvl w:val="0"/>
          <w:numId w:val="7"/>
        </w:numPr>
        <w:ind w:left="720"/>
      </w:pPr>
      <w:r>
        <w:t xml:space="preserve">Criteria and documentation requirements </w:t>
      </w:r>
    </w:p>
    <w:p w14:paraId="277820B0" w14:textId="77777777" w:rsidR="00C66F75" w:rsidRDefault="00C66F75" w:rsidP="00C66F75">
      <w:r>
        <w:t>The Regulations concerning Appointment and Promotion to Teaching and Research Posts set out educational competence requirements for appointment and promotion to associate professor and professor positions, and all educational institutions are expected to prepare more detailed criteria for the educational competence of employees and how this competence shall be documented. The requirements that apply to the individual position categories are given in sections 2 and 3. The criteria in section 1 provide guidelines on how to assess to what extent a candidate meets the requirements stipulated in sections 2 and 3.</w:t>
      </w:r>
    </w:p>
    <w:p w14:paraId="468ABF2D" w14:textId="77777777" w:rsidR="00C66F75" w:rsidRDefault="00C66F75" w:rsidP="00C66F75">
      <w:r>
        <w:t xml:space="preserve">This document stipulates guidelines for the assessment of educational competence at OsloMet – Oslo Metropolitan University. </w:t>
      </w:r>
    </w:p>
    <w:p w14:paraId="53D506E0" w14:textId="77777777" w:rsidR="00C66F75" w:rsidRDefault="00C66F75" w:rsidP="00C66F75">
      <w:pPr>
        <w:pStyle w:val="Overskrift3"/>
        <w:numPr>
          <w:ilvl w:val="1"/>
          <w:numId w:val="6"/>
        </w:numPr>
        <w:ind w:left="1440" w:hanging="360"/>
      </w:pPr>
      <w:r>
        <w:t xml:space="preserve">Main criteria for assessing educational competence </w:t>
      </w:r>
    </w:p>
    <w:p w14:paraId="2E759DF0" w14:textId="77777777" w:rsidR="00C66F75" w:rsidRDefault="00C66F75" w:rsidP="00C66F75">
      <w:r>
        <w:t xml:space="preserve">On appointment, applicants must document their experience and qualifications in planning, executing, </w:t>
      </w:r>
      <w:proofErr w:type="gramStart"/>
      <w:r>
        <w:t>evaluating</w:t>
      </w:r>
      <w:proofErr w:type="gramEnd"/>
      <w:r>
        <w:t xml:space="preserve"> and developing teaching and supervision activities at university and university college level. </w:t>
      </w:r>
    </w:p>
    <w:p w14:paraId="7138BC81" w14:textId="77777777" w:rsidR="00C66F75" w:rsidRDefault="00C66F75" w:rsidP="00C66F75">
      <w:r>
        <w:t xml:space="preserve">OsloMet assesses educational qualifications </w:t>
      </w:r>
      <w:proofErr w:type="gramStart"/>
      <w:r>
        <w:t>on the basis of</w:t>
      </w:r>
      <w:proofErr w:type="gramEnd"/>
      <w:r>
        <w:t xml:space="preserve"> the following four main criteria:</w:t>
      </w:r>
    </w:p>
    <w:p w14:paraId="28A4832C" w14:textId="77777777" w:rsidR="00C66F75" w:rsidRPr="00520FE4" w:rsidRDefault="00C66F75" w:rsidP="00C66F75">
      <w:pPr>
        <w:pStyle w:val="Listeavsnitt"/>
        <w:numPr>
          <w:ilvl w:val="0"/>
          <w:numId w:val="12"/>
        </w:numPr>
      </w:pPr>
      <w:r>
        <w:t xml:space="preserve">Focus on the students’ learning </w:t>
      </w:r>
    </w:p>
    <w:p w14:paraId="4A48EE73" w14:textId="77777777" w:rsidR="00C66F75" w:rsidRPr="00520FE4" w:rsidRDefault="00C66F75" w:rsidP="00C66F75">
      <w:pPr>
        <w:pStyle w:val="Listeavsnitt"/>
        <w:numPr>
          <w:ilvl w:val="0"/>
          <w:numId w:val="12"/>
        </w:numPr>
      </w:pPr>
      <w:r>
        <w:t xml:space="preserve">Clear development over time </w:t>
      </w:r>
    </w:p>
    <w:p w14:paraId="6AF085D8" w14:textId="77777777" w:rsidR="00C66F75" w:rsidRPr="00520FE4" w:rsidRDefault="00C66F75" w:rsidP="00C66F75">
      <w:pPr>
        <w:pStyle w:val="Listeavsnitt"/>
        <w:numPr>
          <w:ilvl w:val="0"/>
          <w:numId w:val="12"/>
        </w:numPr>
      </w:pPr>
      <w:r>
        <w:t xml:space="preserve">An inquisitive and scientific approach </w:t>
      </w:r>
    </w:p>
    <w:p w14:paraId="284BA808" w14:textId="77777777" w:rsidR="00C66F75" w:rsidRPr="00520FE4" w:rsidRDefault="00C66F75" w:rsidP="00C66F75">
      <w:pPr>
        <w:pStyle w:val="Listeavsnitt"/>
        <w:numPr>
          <w:ilvl w:val="0"/>
          <w:numId w:val="12"/>
        </w:numPr>
      </w:pPr>
      <w:r>
        <w:t>Attitudes and practice that make the candidate a good colleague and that help to develop the institution</w:t>
      </w:r>
    </w:p>
    <w:p w14:paraId="7979F86B" w14:textId="77777777" w:rsidR="00C66F75" w:rsidRPr="00520FE4" w:rsidRDefault="00C66F75" w:rsidP="00C66F75">
      <w:r>
        <w:rPr>
          <w:color w:val="000000" w:themeColor="text1"/>
        </w:rPr>
        <w:t>The criteria and documentation requirements established through the merit scheme for teaching staff at OsloMet provide a broader and more precise presentation of what the concept of 'educational competence' entails (</w:t>
      </w:r>
      <w:hyperlink r:id="rId10" w:history="1">
        <w:r>
          <w:rPr>
            <w:rStyle w:val="Hyperkobling"/>
          </w:rPr>
          <w:t>https://ansatt.oslomet.no/merittering-av-undervisere</w:t>
        </w:r>
      </w:hyperlink>
      <w:r>
        <w:rPr>
          <w:color w:val="000000" w:themeColor="text1"/>
        </w:rPr>
        <w:t>)</w:t>
      </w:r>
      <w:r>
        <w:t xml:space="preserve">.  </w:t>
      </w:r>
    </w:p>
    <w:p w14:paraId="573C25F1" w14:textId="77777777" w:rsidR="00C66F75" w:rsidRDefault="00C66F75" w:rsidP="00C66F75">
      <w:r>
        <w:t xml:space="preserve">An expert committee will conduct an overall assessment of which applicants are deemed qualified for the position in accordance with the job description. The whole range of qualifications is considered and explicitly assessed in this process. Unless otherwise specified, greater weight shall be placed on scientific qualifications than on other qualifications. Educational qualifications will be given more weight than qualifications in the areas of research dissemination, </w:t>
      </w:r>
      <w:proofErr w:type="gramStart"/>
      <w:r>
        <w:t>administration</w:t>
      </w:r>
      <w:proofErr w:type="gramEnd"/>
      <w:r>
        <w:t xml:space="preserve"> and management, unless otherwise stated in the advertisement text. Applicants for associate professor positions shall be assessed on whether they meet the requirements for basic educational competence at university level, but this will not have any bearing on whether they are deemed to be formally qualified, since the person appointed must meet the basic educational competence requirement within two years, cf. section 2.1. </w:t>
      </w:r>
    </w:p>
    <w:p w14:paraId="39887F2B" w14:textId="77777777" w:rsidR="00C66F75" w:rsidRDefault="00C66F75" w:rsidP="00C66F75">
      <w:pPr>
        <w:pStyle w:val="Overskrift3"/>
        <w:numPr>
          <w:ilvl w:val="1"/>
          <w:numId w:val="6"/>
        </w:numPr>
        <w:ind w:left="1440" w:hanging="360"/>
      </w:pPr>
      <w:r>
        <w:t xml:space="preserve">Teaching portfolio </w:t>
      </w:r>
    </w:p>
    <w:p w14:paraId="44836EAF" w14:textId="77777777" w:rsidR="00C66F75" w:rsidRDefault="00C66F75" w:rsidP="00C66F75">
      <w:r>
        <w:t xml:space="preserve">Educational competence can be documented by means of a teaching portfolio comprising two parts: (1) a profiling document and (2) a set of enclosures comprising concrete documentation of the content of the profiling document. </w:t>
      </w:r>
    </w:p>
    <w:p w14:paraId="013A1628" w14:textId="77777777" w:rsidR="00C66F75" w:rsidRDefault="00C66F75" w:rsidP="00C66F75">
      <w:r>
        <w:t xml:space="preserve">The profiling document must contain a CV of educational qualifications </w:t>
      </w:r>
      <w:r>
        <w:rPr>
          <w:i/>
          <w:iCs/>
        </w:rPr>
        <w:t xml:space="preserve">and </w:t>
      </w:r>
      <w:r>
        <w:t>a presentation that discusses the applicant's development of educational competence.</w:t>
      </w:r>
    </w:p>
    <w:p w14:paraId="2C70A332" w14:textId="77777777" w:rsidR="00C66F75" w:rsidRDefault="00C66F75" w:rsidP="00C66F75">
      <w:r>
        <w:t xml:space="preserve">The CV should provide a brief description of the applicant and the applicant's career as a teacher/supervisor in higher education. The CV should only include elements that are relevant to teaching and supervision work. </w:t>
      </w:r>
    </w:p>
    <w:p w14:paraId="78318483" w14:textId="77777777" w:rsidR="00C66F75" w:rsidRDefault="00C66F75" w:rsidP="00C66F75">
      <w:r>
        <w:t xml:space="preserve">The profiling document should also discuss the applicant’s teaching and supervision experience and systematic quality development work in relation to their own teaching or that of the teaching </w:t>
      </w:r>
      <w:proofErr w:type="gramStart"/>
      <w:r>
        <w:t>staff as a whole</w:t>
      </w:r>
      <w:proofErr w:type="gramEnd"/>
      <w:r>
        <w:t xml:space="preserve"> (see section 4.0 for further examples). The profiling document should be based on the key criteria for the assessment of educational competence. The document should not be too extensive. As a rule, it should be 3–6 pages long. If a different scope is specified in the job advertisement, that requirement will apply.</w:t>
      </w:r>
    </w:p>
    <w:p w14:paraId="1EB588A5" w14:textId="77777777" w:rsidR="00C66F75" w:rsidRDefault="00C66F75" w:rsidP="00C66F75"/>
    <w:p w14:paraId="3547E527" w14:textId="77777777" w:rsidR="00C66F75" w:rsidRDefault="00C66F75" w:rsidP="00C66F75">
      <w:pPr>
        <w:pStyle w:val="Overskrift2"/>
        <w:numPr>
          <w:ilvl w:val="0"/>
          <w:numId w:val="7"/>
        </w:numPr>
        <w:ind w:left="720"/>
      </w:pPr>
      <w:r>
        <w:t xml:space="preserve">Appointment and promotion to associate professor positions </w:t>
      </w:r>
    </w:p>
    <w:p w14:paraId="222EE063" w14:textId="77777777" w:rsidR="00C66F75" w:rsidRDefault="00C66F75" w:rsidP="00C66F75">
      <w:pPr>
        <w:pStyle w:val="Overskrift3"/>
        <w:numPr>
          <w:ilvl w:val="1"/>
          <w:numId w:val="8"/>
        </w:numPr>
        <w:ind w:left="792" w:hanging="432"/>
      </w:pPr>
      <w:r>
        <w:t xml:space="preserve">Educational competence requirements </w:t>
      </w:r>
    </w:p>
    <w:p w14:paraId="7B62F9EC" w14:textId="77777777" w:rsidR="00C66F75" w:rsidRDefault="00C66F75" w:rsidP="00C66F75">
      <w:r>
        <w:t xml:space="preserve">Competence requirements for appointments to positions as associate professor are found in Section 1-4 of the Regulations for Appointment and Promotion to Teaching and Research Posts. At OsloMet, the requirement of basic competence in teaching and supervision at university and university college level is specified to mean that the following must be documented </w:t>
      </w:r>
      <w:proofErr w:type="gramStart"/>
      <w:r>
        <w:t>on the basis of</w:t>
      </w:r>
      <w:proofErr w:type="gramEnd"/>
      <w:r>
        <w:t xml:space="preserve"> own teaching/supervision and completed university pedagogy education: </w:t>
      </w:r>
    </w:p>
    <w:p w14:paraId="1F1AC946" w14:textId="77777777" w:rsidR="00C66F75" w:rsidRDefault="00C66F75" w:rsidP="00C66F75">
      <w:pPr>
        <w:pStyle w:val="Listeavsnitt"/>
        <w:numPr>
          <w:ilvl w:val="0"/>
          <w:numId w:val="9"/>
        </w:numPr>
      </w:pPr>
      <w:r>
        <w:t xml:space="preserve">Basic skills in planning, executing, </w:t>
      </w:r>
      <w:proofErr w:type="gramStart"/>
      <w:r>
        <w:t>evaluating</w:t>
      </w:r>
      <w:proofErr w:type="gramEnd"/>
      <w:r>
        <w:t xml:space="preserve"> and developing teaching and supervision activities </w:t>
      </w:r>
    </w:p>
    <w:p w14:paraId="61A843B1" w14:textId="77777777" w:rsidR="00C66F75" w:rsidRPr="00B139D9" w:rsidRDefault="00C66F75" w:rsidP="00C66F75">
      <w:pPr>
        <w:pStyle w:val="Listeavsnitt"/>
        <w:numPr>
          <w:ilvl w:val="0"/>
          <w:numId w:val="9"/>
        </w:numPr>
      </w:pPr>
      <w:r>
        <w:t xml:space="preserve">The ability to reflect on their own role and discuss and give grounds for their choices in the planning, execution and development of teaching and supervision activities </w:t>
      </w:r>
    </w:p>
    <w:p w14:paraId="0F39BF29" w14:textId="77777777" w:rsidR="00C66F75" w:rsidRDefault="00C66F75" w:rsidP="00C66F75">
      <w:r>
        <w:t>The requirement set out in the Regulations means that the competence requirement can be attained</w:t>
      </w:r>
      <w:r>
        <w:rPr>
          <w:i/>
          <w:iCs/>
        </w:rPr>
        <w:t xml:space="preserve"> either </w:t>
      </w:r>
      <w:r>
        <w:t xml:space="preserve">by the applicant completing a dedicated programme with a minimum scope of 200 hours </w:t>
      </w:r>
      <w:r>
        <w:rPr>
          <w:i/>
          <w:iCs/>
        </w:rPr>
        <w:t xml:space="preserve">or </w:t>
      </w:r>
      <w:r>
        <w:t xml:space="preserve">by documenting such competence through a combination of relevant courses and own teaching experience that is considered equivalent to a 200-hour programme. </w:t>
      </w:r>
    </w:p>
    <w:p w14:paraId="356743EA" w14:textId="77777777" w:rsidR="00C66F75" w:rsidRDefault="00C66F75" w:rsidP="00C66F75">
      <w:r>
        <w:t xml:space="preserve">If the applicant is unable to document such competence on appointment, he or she must complete a course and achieve basic university teaching qualifications within two years of appointment. The same requirement must be applied to candidates who are promoted to associate professor </w:t>
      </w:r>
      <w:proofErr w:type="gramStart"/>
      <w:r>
        <w:t>on the basis of</w:t>
      </w:r>
      <w:proofErr w:type="gramEnd"/>
      <w:r>
        <w:t xml:space="preserve"> an awarded doctoral degree in accordance with Section 2-4(8) of the Regulations. </w:t>
      </w:r>
    </w:p>
    <w:p w14:paraId="55A52E70" w14:textId="77777777" w:rsidR="00C66F75" w:rsidRDefault="00C66F75" w:rsidP="00C66F75">
      <w:r>
        <w:t>In addition to documentation of university pedagogy qualifications, the candidate can present documentation of other educational competence (see section 4.0 for examples of documentation).</w:t>
      </w:r>
    </w:p>
    <w:p w14:paraId="3CF37500" w14:textId="77777777" w:rsidR="00C66F75" w:rsidRDefault="00C66F75" w:rsidP="00C66F75">
      <w:pPr>
        <w:pStyle w:val="Overskrift2"/>
        <w:numPr>
          <w:ilvl w:val="0"/>
          <w:numId w:val="7"/>
        </w:numPr>
        <w:ind w:left="720"/>
      </w:pPr>
      <w:r>
        <w:t xml:space="preserve">Appointment and promotion to professor positions </w:t>
      </w:r>
    </w:p>
    <w:p w14:paraId="62DC5392" w14:textId="77777777" w:rsidR="00C66F75" w:rsidRDefault="00C66F75" w:rsidP="00C66F75">
      <w:pPr>
        <w:pStyle w:val="Overskrift3"/>
        <w:numPr>
          <w:ilvl w:val="1"/>
          <w:numId w:val="10"/>
        </w:numPr>
      </w:pPr>
      <w:r>
        <w:t xml:space="preserve">Educational competence requirements </w:t>
      </w:r>
    </w:p>
    <w:p w14:paraId="397EE853" w14:textId="77777777" w:rsidR="00C66F75" w:rsidRDefault="00C66F75" w:rsidP="00C66F75">
      <w:r>
        <w:t xml:space="preserve">Competence requirements for appointment to professor positions are found in Section 1-2 of the Regulations for Appointment and Promotion to Teaching and Research Posts. The Regulations set out three requirements in addition to the requirements for associate professor positions: </w:t>
      </w:r>
    </w:p>
    <w:p w14:paraId="54A37B4A" w14:textId="77777777" w:rsidR="00C66F75" w:rsidRDefault="00C66F75" w:rsidP="00C66F75">
      <w:pPr>
        <w:pStyle w:val="Listeavsnitt"/>
        <w:numPr>
          <w:ilvl w:val="0"/>
          <w:numId w:val="11"/>
        </w:numPr>
      </w:pPr>
      <w:r>
        <w:t xml:space="preserve">Quality development in own teaching and supervision over time </w:t>
      </w:r>
    </w:p>
    <w:p w14:paraId="1EBD9622" w14:textId="77777777" w:rsidR="00C66F75" w:rsidRDefault="00C66F75" w:rsidP="00C66F75">
      <w:pPr>
        <w:pStyle w:val="Listeavsnitt"/>
        <w:numPr>
          <w:ilvl w:val="0"/>
          <w:numId w:val="11"/>
        </w:numPr>
      </w:pPr>
      <w:r>
        <w:t xml:space="preserve">Broad experience of supervision preferably at master’s degree/PhD level </w:t>
      </w:r>
    </w:p>
    <w:p w14:paraId="6A355E6E" w14:textId="77777777" w:rsidR="00C66F75" w:rsidRDefault="00C66F75" w:rsidP="00C66F75">
      <w:pPr>
        <w:pStyle w:val="Listeavsnitt"/>
        <w:numPr>
          <w:ilvl w:val="0"/>
          <w:numId w:val="11"/>
        </w:numPr>
      </w:pPr>
      <w:r>
        <w:t xml:space="preserve">Participation in the development of quality of education in the academic community </w:t>
      </w:r>
    </w:p>
    <w:p w14:paraId="1C749820" w14:textId="77777777" w:rsidR="00C66F75" w:rsidRDefault="00C66F75" w:rsidP="00C66F75">
      <w:r>
        <w:t xml:space="preserve">At OsloMet, the requirements are specified to mean that the following must be documented: </w:t>
      </w:r>
    </w:p>
    <w:p w14:paraId="3FFCC842" w14:textId="77777777" w:rsidR="00C66F75" w:rsidRDefault="00C66F75" w:rsidP="00C66F75">
      <w:pPr>
        <w:pStyle w:val="Listeavsnitt"/>
        <w:numPr>
          <w:ilvl w:val="0"/>
          <w:numId w:val="9"/>
        </w:numPr>
      </w:pPr>
      <w:r>
        <w:t xml:space="preserve">Sound qualifications and experience in planning, </w:t>
      </w:r>
      <w:proofErr w:type="gramStart"/>
      <w:r>
        <w:t>execution</w:t>
      </w:r>
      <w:proofErr w:type="gramEnd"/>
      <w:r>
        <w:t xml:space="preserve"> and evaluation of teaching activities </w:t>
      </w:r>
    </w:p>
    <w:p w14:paraId="5F9B7480" w14:textId="77777777" w:rsidR="00C66F75" w:rsidRDefault="00C66F75" w:rsidP="00C66F75">
      <w:pPr>
        <w:pStyle w:val="Listeavsnitt"/>
        <w:numPr>
          <w:ilvl w:val="0"/>
          <w:numId w:val="9"/>
        </w:numPr>
      </w:pPr>
      <w:r>
        <w:t xml:space="preserve">Significant contributions to systematic development work related to teaching and supervision </w:t>
      </w:r>
    </w:p>
    <w:p w14:paraId="69D13B3F" w14:textId="77777777" w:rsidR="00C66F75" w:rsidRPr="00F373B1" w:rsidRDefault="00C66F75" w:rsidP="00C66F75">
      <w:pPr>
        <w:pStyle w:val="Listeavsnitt"/>
        <w:numPr>
          <w:ilvl w:val="0"/>
          <w:numId w:val="9"/>
        </w:numPr>
      </w:pPr>
      <w:r>
        <w:t>A minimum requirement for supervision experience will be set by each faculty based on its academic traditions, the size of the subject and availability of candidates, and national standards</w:t>
      </w:r>
    </w:p>
    <w:p w14:paraId="1ADADD8B" w14:textId="77777777" w:rsidR="00C66F75" w:rsidRDefault="00C66F75" w:rsidP="00C66F75">
      <w:pPr>
        <w:pStyle w:val="Listeavsnitt"/>
        <w:numPr>
          <w:ilvl w:val="0"/>
          <w:numId w:val="9"/>
        </w:numPr>
      </w:pPr>
      <w:r>
        <w:t xml:space="preserve">Efforts and cooperation in their own academic environment related to work on quality of education </w:t>
      </w:r>
    </w:p>
    <w:p w14:paraId="5971E86C" w14:textId="77777777" w:rsidR="00C66F75" w:rsidRDefault="00C66F75" w:rsidP="00C66F75">
      <w:r>
        <w:t>When weighty reasons so indicate, an applicant who is unable to document basic competence in teaching and supervision at university and university college level can nonetheless be appointed on condition that they document such competence within two years of their appointment.</w:t>
      </w:r>
    </w:p>
    <w:p w14:paraId="01EE69A7" w14:textId="77777777" w:rsidR="00C66F75" w:rsidRPr="00F373B1" w:rsidRDefault="00C66F75" w:rsidP="00C66F75">
      <w:pPr>
        <w:pStyle w:val="Overskrift2"/>
        <w:numPr>
          <w:ilvl w:val="0"/>
          <w:numId w:val="7"/>
        </w:numPr>
        <w:ind w:left="720"/>
      </w:pPr>
      <w:r>
        <w:t>Examples of documentation of educational competence</w:t>
      </w:r>
    </w:p>
    <w:p w14:paraId="3257ED28" w14:textId="77777777" w:rsidR="00C66F75" w:rsidRDefault="00C66F75" w:rsidP="00C66F75">
      <w:r>
        <w:t>The assessment of whether the requirements in section 3.1 are met must be based on documentation in the form of a teaching portfolio, which is related to the criteria for educational competence. Such documentation can include the following elements (see link to the merit scheme in section 1.1):</w:t>
      </w:r>
    </w:p>
    <w:p w14:paraId="7231E7EE" w14:textId="77777777" w:rsidR="00C66F75" w:rsidRDefault="00C66F75" w:rsidP="00C66F75">
      <w:pPr>
        <w:pStyle w:val="Listeavsnitt"/>
        <w:numPr>
          <w:ilvl w:val="0"/>
          <w:numId w:val="9"/>
        </w:numPr>
      </w:pPr>
      <w:r>
        <w:t>A CV in which the applicant describes their career as a teacher and supervisor in higher education, including seniority and at which levels they have taught and supervised</w:t>
      </w:r>
    </w:p>
    <w:p w14:paraId="7F9B827A" w14:textId="77777777" w:rsidR="00C66F75" w:rsidRDefault="00C66F75" w:rsidP="00C66F75">
      <w:pPr>
        <w:pStyle w:val="Listeavsnitt"/>
        <w:numPr>
          <w:ilvl w:val="0"/>
          <w:numId w:val="9"/>
        </w:numPr>
      </w:pPr>
      <w:r>
        <w:t xml:space="preserve">Teaching experience: which methods of teaching and supervision, </w:t>
      </w:r>
      <w:proofErr w:type="gramStart"/>
      <w:r>
        <w:t>e.g.</w:t>
      </w:r>
      <w:proofErr w:type="gramEnd"/>
      <w:r>
        <w:t xml:space="preserve"> student-active and digital teaching methods, the applicant has employed. Experiences of these methods and development over time</w:t>
      </w:r>
    </w:p>
    <w:p w14:paraId="0BE98D9E" w14:textId="77777777" w:rsidR="00C66F75" w:rsidRDefault="00C66F75" w:rsidP="00C66F75">
      <w:pPr>
        <w:pStyle w:val="Listeavsnitt"/>
        <w:numPr>
          <w:ilvl w:val="0"/>
          <w:numId w:val="9"/>
        </w:numPr>
      </w:pPr>
      <w:r>
        <w:t>Experience of and motivation for work on course and programme descriptions, and cooperation with colleagues and students on developing the quality of education over time</w:t>
      </w:r>
    </w:p>
    <w:p w14:paraId="19EA8D4A" w14:textId="77777777" w:rsidR="00C66F75" w:rsidRDefault="00C66F75" w:rsidP="00C66F75">
      <w:pPr>
        <w:pStyle w:val="Listeavsnitt"/>
        <w:numPr>
          <w:ilvl w:val="0"/>
          <w:numId w:val="9"/>
        </w:numPr>
      </w:pPr>
      <w:r>
        <w:t>Work on the development of assessment and forms of assessment</w:t>
      </w:r>
    </w:p>
    <w:p w14:paraId="563B0DC6" w14:textId="77777777" w:rsidR="00C66F75" w:rsidRDefault="00C66F75" w:rsidP="00C66F75">
      <w:pPr>
        <w:pStyle w:val="Listeavsnitt"/>
        <w:numPr>
          <w:ilvl w:val="0"/>
          <w:numId w:val="9"/>
        </w:numPr>
      </w:pPr>
      <w:r>
        <w:t>Use of student evaluations and systematic work on student feedback for the purpose of further developing teaching</w:t>
      </w:r>
    </w:p>
    <w:p w14:paraId="328C401E" w14:textId="77777777" w:rsidR="00C66F75" w:rsidRDefault="00C66F75" w:rsidP="00C66F75">
      <w:pPr>
        <w:pStyle w:val="Listeavsnitt"/>
        <w:numPr>
          <w:ilvl w:val="0"/>
          <w:numId w:val="9"/>
        </w:numPr>
      </w:pPr>
      <w:r>
        <w:t>Educational development work, including the development of teaching materials</w:t>
      </w:r>
    </w:p>
    <w:p w14:paraId="49849AE9" w14:textId="77777777" w:rsidR="00C66F75" w:rsidRDefault="00C66F75" w:rsidP="00C66F75">
      <w:pPr>
        <w:pStyle w:val="Listeavsnitt"/>
        <w:numPr>
          <w:ilvl w:val="0"/>
          <w:numId w:val="9"/>
        </w:numPr>
      </w:pPr>
      <w:r>
        <w:t>Publications that document the development of quality of education and cooperation with colleagues on the development of quality of education</w:t>
      </w:r>
    </w:p>
    <w:p w14:paraId="6B504C45" w14:textId="7F37B894" w:rsidR="00D05831" w:rsidRDefault="00D05831"/>
    <w:p w14:paraId="61FB92A6" w14:textId="6A80ABB8" w:rsidR="0028578A" w:rsidRPr="00E35A7D" w:rsidRDefault="00DF1382" w:rsidP="34BB4BEC">
      <w:pPr>
        <w:rPr>
          <w:rFonts w:ascii="Arial" w:eastAsia="Arial" w:hAnsi="Arial" w:cs="Arial"/>
          <w:b/>
          <w:sz w:val="24"/>
          <w:szCs w:val="24"/>
        </w:rPr>
      </w:pPr>
      <w:r>
        <w:rPr>
          <w:rFonts w:ascii="Arial" w:hAnsi="Arial"/>
          <w:b/>
          <w:sz w:val="24"/>
          <w:szCs w:val="24"/>
        </w:rPr>
        <w:t>The following practices also apply to appointment and promotion to professor positions at OsloMet:</w:t>
      </w:r>
    </w:p>
    <w:p w14:paraId="2547CAF9" w14:textId="437085DE" w:rsidR="00E82CB6" w:rsidRPr="00B61955" w:rsidRDefault="00503C7F" w:rsidP="00B61955">
      <w:pPr>
        <w:pStyle w:val="Ingenmellomrom1"/>
        <w:rPr>
          <w:rFonts w:asciiTheme="minorHAnsi" w:eastAsiaTheme="minorEastAsia" w:hAnsiTheme="minorHAnsi" w:cstheme="minorBidi"/>
          <w:sz w:val="22"/>
        </w:rPr>
      </w:pPr>
      <w:r>
        <w:rPr>
          <w:rFonts w:asciiTheme="majorHAnsi" w:hAnsiTheme="majorHAnsi"/>
          <w:color w:val="2E74B5" w:themeColor="accent1" w:themeShade="BF"/>
          <w:sz w:val="26"/>
          <w:szCs w:val="26"/>
        </w:rPr>
        <w:t>Professor pursuant to Section 1-2(1) of the Regulations:</w:t>
      </w:r>
      <w:r>
        <w:br/>
      </w:r>
      <w:r>
        <w:rPr>
          <w:rFonts w:asciiTheme="minorHAnsi" w:hAnsiTheme="minorHAnsi"/>
          <w:sz w:val="22"/>
        </w:rPr>
        <w:t>To qualify for an academic professorship, candidates must as a rule have been awarded a PhD. Above this, significant scholarly production is required that shows in-depth understanding of the candidate’s field and broad insight into related areas. This can be documented through peer reviewed scholarly publications in recognised journals or in other ways.</w:t>
      </w:r>
      <w:r>
        <w:rPr>
          <w:rFonts w:asciiTheme="minorHAnsi" w:hAnsiTheme="minorHAnsi"/>
          <w:sz w:val="22"/>
        </w:rPr>
        <w:br/>
        <w:t>Great emphasis is placed on scholarly production from the past six years.</w:t>
      </w:r>
    </w:p>
    <w:p w14:paraId="367971B3" w14:textId="0210B669" w:rsidR="6C3C28DC" w:rsidRDefault="6C3C28DC" w:rsidP="6C3C28DC">
      <w:pPr>
        <w:pStyle w:val="Ingenmellomrom1"/>
        <w:rPr>
          <w:rFonts w:asciiTheme="minorHAnsi" w:eastAsiaTheme="minorEastAsia" w:hAnsiTheme="minorHAnsi" w:cstheme="minorBidi"/>
          <w:sz w:val="22"/>
        </w:rPr>
      </w:pPr>
    </w:p>
    <w:p w14:paraId="687D9A42" w14:textId="77777777" w:rsidR="00E82CB6" w:rsidRDefault="00E82CB6" w:rsidP="00E35A7D">
      <w:r>
        <w:t>‘Scholarly production’ includes published work and work that has been accepted for publication when this has been confirmed in writing.</w:t>
      </w:r>
    </w:p>
    <w:p w14:paraId="01BAC956" w14:textId="6ED6D278" w:rsidR="00E82CB6" w:rsidRDefault="783B89F6" w:rsidP="00E35A7D">
      <w:r>
        <w:t xml:space="preserve">Emphasis is also placed on the ability to initiate and manage research and to be a driver in the development of large-scale research projects and applications for external funding. This can be documented through supervision of research fellows and/or students at all levels and management of research projects, academic-administrative experience etc. </w:t>
      </w:r>
    </w:p>
    <w:p w14:paraId="7B0399A6" w14:textId="1A10BD6B" w:rsidR="00E82CB6" w:rsidRPr="00E82CB6" w:rsidRDefault="0033554D" w:rsidP="00E35A7D">
      <w:r>
        <w:t xml:space="preserve">Emphasis is placed on international activities. Examples of international activities and the ability to take the initiative </w:t>
      </w:r>
      <w:r w:rsidR="00523C47">
        <w:t>for</w:t>
      </w:r>
      <w:r>
        <w:t xml:space="preserve"> and further develop research collaborations with national and international partners could be collaborations with international researchers, participation in academic management or evaluation assignments, participation in international conferences as a member of a programme committee or speaker, activity as a peer reviewer in recognised journals or as an opponent in PhD public defences.</w:t>
      </w:r>
    </w:p>
    <w:p w14:paraId="3CC6FFE9" w14:textId="77777777" w:rsidR="00E82CB6" w:rsidRPr="00E35A7D" w:rsidRDefault="00E82CB6" w:rsidP="002E1996">
      <w:pPr>
        <w:pStyle w:val="Overskrift2"/>
      </w:pPr>
    </w:p>
    <w:p w14:paraId="514938AF" w14:textId="1D851751" w:rsidR="006F54E5" w:rsidRPr="00E35A7D" w:rsidRDefault="003D1443" w:rsidP="00E35A7D">
      <w:pPr>
        <w:pStyle w:val="Overskrift2"/>
      </w:pPr>
      <w:r>
        <w:t>Professor pursuant to Section 1-2(</w:t>
      </w:r>
      <w:r w:rsidR="00B421CE">
        <w:t>2</w:t>
      </w:r>
      <w:r>
        <w:t xml:space="preserve">) of the Regulations </w:t>
      </w:r>
    </w:p>
    <w:p w14:paraId="1C901E54" w14:textId="294D4A7B" w:rsidR="008F63DC" w:rsidRPr="00E82CB6" w:rsidRDefault="00D826F0" w:rsidP="008F63DC">
      <w:r>
        <w:t>To qualify for an artistic professorship, artistic activities at the highest level by international standards must be documented through publicly available artistic production in recognised dissemination channels. Above this, in-depth understanding of the candidate’s field and broad insight into related areas must be documented. Great emphasis is placed on production from the past six years.</w:t>
      </w:r>
    </w:p>
    <w:p w14:paraId="23852AAD" w14:textId="5FE836F5" w:rsidR="00D826F0" w:rsidRPr="00E35A7D" w:rsidRDefault="00D826F0" w:rsidP="008F63DC"/>
    <w:p w14:paraId="46C2ED43" w14:textId="0F3F649A" w:rsidR="00E82CB6" w:rsidRPr="004B7F11" w:rsidRDefault="00D826F0" w:rsidP="00E35A7D">
      <w:pPr>
        <w:pStyle w:val="Ingenmellomrom1"/>
        <w:rPr>
          <w:rFonts w:asciiTheme="minorHAnsi" w:eastAsiaTheme="minorEastAsia" w:hAnsiTheme="minorHAnsi" w:cstheme="minorBidi"/>
          <w:sz w:val="22"/>
        </w:rPr>
      </w:pPr>
      <w:r>
        <w:rPr>
          <w:rFonts w:asciiTheme="minorHAnsi" w:hAnsiTheme="minorHAnsi"/>
          <w:sz w:val="22"/>
        </w:rPr>
        <w:t xml:space="preserve">Emphasis shall also be placed on the ability to initiate and manage projects. This can be documented through student supervision at all levels, initiation and management of creative and artistic projects, academic-administrative experience etc. </w:t>
      </w:r>
      <w:r w:rsidRPr="00523C47">
        <w:rPr>
          <w:rFonts w:asciiTheme="minorHAnsi" w:hAnsiTheme="minorHAnsi"/>
          <w:sz w:val="22"/>
        </w:rPr>
        <w:t>Supervision of research fellows in artistic research is not a requirement when assessing professor qualifications.</w:t>
      </w:r>
    </w:p>
    <w:p w14:paraId="3F1508F1" w14:textId="77777777" w:rsidR="0028578A" w:rsidRDefault="0028578A"/>
    <w:p w14:paraId="2775A924" w14:textId="507D4E1D" w:rsidR="00F51801" w:rsidRDefault="00F51801" w:rsidP="00F51801">
      <w:pPr>
        <w:pStyle w:val="Overskrift2"/>
      </w:pPr>
      <w:r>
        <w:t>DORA</w:t>
      </w:r>
    </w:p>
    <w:p w14:paraId="4E42E233" w14:textId="2814B1D9" w:rsidR="00192F52" w:rsidRDefault="00192F52" w:rsidP="00192F52">
      <w:r>
        <w:t xml:space="preserve">OsloMet has endorsed the principles and committed the institution to comply with the recommendations of the </w:t>
      </w:r>
      <w:hyperlink r:id="rId11" w:anchor="om_dora">
        <w:r>
          <w:rPr>
            <w:rStyle w:val="Hyperkobling"/>
          </w:rPr>
          <w:t>DORA declaration</w:t>
        </w:r>
      </w:hyperlink>
      <w:r>
        <w:t xml:space="preserve"> (</w:t>
      </w:r>
      <w:r w:rsidR="00523C47">
        <w:t>t</w:t>
      </w:r>
      <w:r>
        <w:t>he San Francisco Declaration on Research Assessment). This entails that researchers’ research results (including datasets and software) are assessed and evaluated for content and quality.</w:t>
      </w:r>
    </w:p>
    <w:p w14:paraId="2FB89830" w14:textId="21FBA703" w:rsidR="0028578A" w:rsidRDefault="0028578A" w:rsidP="00192F52"/>
    <w:sectPr w:rsidR="0028578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57B7" w14:textId="77777777" w:rsidR="00E3003A" w:rsidRDefault="00E3003A" w:rsidP="00472655">
      <w:pPr>
        <w:spacing w:after="0" w:line="240" w:lineRule="auto"/>
      </w:pPr>
      <w:r>
        <w:separator/>
      </w:r>
    </w:p>
  </w:endnote>
  <w:endnote w:type="continuationSeparator" w:id="0">
    <w:p w14:paraId="05804121" w14:textId="77777777" w:rsidR="00E3003A" w:rsidRDefault="00E3003A" w:rsidP="0047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A77E" w14:textId="7C93FA24" w:rsidR="00A80E4E" w:rsidRDefault="00A80E4E">
    <w:pPr>
      <w:pStyle w:val="Bunntekst"/>
    </w:pPr>
    <w:r>
      <w:rPr>
        <w:b/>
        <w:noProof/>
        <w:color w:val="A6A6A6" w:themeColor="background1" w:themeShade="A6"/>
        <w:sz w:val="10"/>
        <w:szCs w:val="16"/>
        <w:lang w:val="nb-NO" w:eastAsia="nb-NO"/>
      </w:rPr>
      <w:drawing>
        <wp:anchor distT="0" distB="0" distL="114300" distR="114300" simplePos="0" relativeHeight="251659264" behindDoc="0" locked="0" layoutInCell="1" allowOverlap="1" wp14:anchorId="53F040DF" wp14:editId="42F58659">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E912" w14:textId="77777777" w:rsidR="00E3003A" w:rsidRDefault="00E3003A" w:rsidP="00472655">
      <w:pPr>
        <w:spacing w:after="0" w:line="240" w:lineRule="auto"/>
      </w:pPr>
      <w:r>
        <w:separator/>
      </w:r>
    </w:p>
  </w:footnote>
  <w:footnote w:type="continuationSeparator" w:id="0">
    <w:p w14:paraId="35F2B444" w14:textId="77777777" w:rsidR="00E3003A" w:rsidRDefault="00E3003A" w:rsidP="0047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B6A" w14:textId="1FD0B1ED" w:rsidR="00875CFD" w:rsidRDefault="00875CFD">
    <w:pPr>
      <w:pStyle w:val="Topptekst"/>
    </w:pPr>
    <w:r>
      <w:rPr>
        <w:noProof/>
        <w:lang w:val="nb-NO" w:eastAsia="nb-NO"/>
      </w:rPr>
      <w:drawing>
        <wp:inline distT="0" distB="0" distL="0" distR="0" wp14:anchorId="0A5CCA18" wp14:editId="1C06AD7E">
          <wp:extent cx="1413215" cy="981075"/>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570" cy="982710"/>
                  </a:xfrm>
                  <a:prstGeom prst="rect">
                    <a:avLst/>
                  </a:prstGeom>
                  <a:noFill/>
                  <a:ln>
                    <a:noFill/>
                  </a:ln>
                </pic:spPr>
              </pic:pic>
            </a:graphicData>
          </a:graphic>
        </wp:inline>
      </w:drawing>
    </w:r>
  </w:p>
  <w:p w14:paraId="7E0D6D7C" w14:textId="77777777" w:rsidR="00875CFD" w:rsidRDefault="00875C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733"/>
    <w:multiLevelType w:val="hybridMultilevel"/>
    <w:tmpl w:val="3C9212FA"/>
    <w:lvl w:ilvl="0" w:tplc="A0D204E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9D45DA"/>
    <w:multiLevelType w:val="hybridMultilevel"/>
    <w:tmpl w:val="ACF82920"/>
    <w:lvl w:ilvl="0" w:tplc="E5081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31C26"/>
    <w:multiLevelType w:val="hybridMultilevel"/>
    <w:tmpl w:val="3ECEA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A03DA"/>
    <w:multiLevelType w:val="hybridMultilevel"/>
    <w:tmpl w:val="F7ECB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1E4565"/>
    <w:multiLevelType w:val="hybridMultilevel"/>
    <w:tmpl w:val="FA2C05D0"/>
    <w:lvl w:ilvl="0" w:tplc="7518B432">
      <w:start w:val="1"/>
      <w:numFmt w:val="bullet"/>
      <w:lvlText w:val=""/>
      <w:lvlJc w:val="left"/>
      <w:pPr>
        <w:ind w:left="720" w:hanging="360"/>
      </w:pPr>
      <w:rPr>
        <w:rFonts w:ascii="Symbol" w:hAnsi="Symbol" w:hint="default"/>
      </w:rPr>
    </w:lvl>
    <w:lvl w:ilvl="1" w:tplc="4F3E8094">
      <w:start w:val="1"/>
      <w:numFmt w:val="bullet"/>
      <w:lvlText w:val="o"/>
      <w:lvlJc w:val="left"/>
      <w:pPr>
        <w:ind w:left="1440" w:hanging="360"/>
      </w:pPr>
      <w:rPr>
        <w:rFonts w:ascii="Courier New" w:hAnsi="Courier New" w:hint="default"/>
      </w:rPr>
    </w:lvl>
    <w:lvl w:ilvl="2" w:tplc="2B085182">
      <w:start w:val="1"/>
      <w:numFmt w:val="bullet"/>
      <w:lvlText w:val=""/>
      <w:lvlJc w:val="left"/>
      <w:pPr>
        <w:ind w:left="2160" w:hanging="360"/>
      </w:pPr>
      <w:rPr>
        <w:rFonts w:ascii="Wingdings" w:hAnsi="Wingdings" w:hint="default"/>
      </w:rPr>
    </w:lvl>
    <w:lvl w:ilvl="3" w:tplc="44280354">
      <w:start w:val="1"/>
      <w:numFmt w:val="bullet"/>
      <w:lvlText w:val=""/>
      <w:lvlJc w:val="left"/>
      <w:pPr>
        <w:ind w:left="2880" w:hanging="360"/>
      </w:pPr>
      <w:rPr>
        <w:rFonts w:ascii="Symbol" w:hAnsi="Symbol" w:hint="default"/>
      </w:rPr>
    </w:lvl>
    <w:lvl w:ilvl="4" w:tplc="ECAAC6A2">
      <w:start w:val="1"/>
      <w:numFmt w:val="bullet"/>
      <w:lvlText w:val="o"/>
      <w:lvlJc w:val="left"/>
      <w:pPr>
        <w:ind w:left="3600" w:hanging="360"/>
      </w:pPr>
      <w:rPr>
        <w:rFonts w:ascii="Courier New" w:hAnsi="Courier New" w:hint="default"/>
      </w:rPr>
    </w:lvl>
    <w:lvl w:ilvl="5" w:tplc="B726A476">
      <w:start w:val="1"/>
      <w:numFmt w:val="bullet"/>
      <w:lvlText w:val=""/>
      <w:lvlJc w:val="left"/>
      <w:pPr>
        <w:ind w:left="4320" w:hanging="360"/>
      </w:pPr>
      <w:rPr>
        <w:rFonts w:ascii="Wingdings" w:hAnsi="Wingdings" w:hint="default"/>
      </w:rPr>
    </w:lvl>
    <w:lvl w:ilvl="6" w:tplc="C62049E6">
      <w:start w:val="1"/>
      <w:numFmt w:val="bullet"/>
      <w:lvlText w:val=""/>
      <w:lvlJc w:val="left"/>
      <w:pPr>
        <w:ind w:left="5040" w:hanging="360"/>
      </w:pPr>
      <w:rPr>
        <w:rFonts w:ascii="Symbol" w:hAnsi="Symbol" w:hint="default"/>
      </w:rPr>
    </w:lvl>
    <w:lvl w:ilvl="7" w:tplc="780E0CAE">
      <w:start w:val="1"/>
      <w:numFmt w:val="bullet"/>
      <w:lvlText w:val="o"/>
      <w:lvlJc w:val="left"/>
      <w:pPr>
        <w:ind w:left="5760" w:hanging="360"/>
      </w:pPr>
      <w:rPr>
        <w:rFonts w:ascii="Courier New" w:hAnsi="Courier New" w:hint="default"/>
      </w:rPr>
    </w:lvl>
    <w:lvl w:ilvl="8" w:tplc="DF147C66">
      <w:start w:val="1"/>
      <w:numFmt w:val="bullet"/>
      <w:lvlText w:val=""/>
      <w:lvlJc w:val="left"/>
      <w:pPr>
        <w:ind w:left="6480" w:hanging="360"/>
      </w:pPr>
      <w:rPr>
        <w:rFonts w:ascii="Wingdings" w:hAnsi="Wingdings" w:hint="default"/>
      </w:rPr>
    </w:lvl>
  </w:abstractNum>
  <w:abstractNum w:abstractNumId="5" w15:restartNumberingAfterBreak="0">
    <w:nsid w:val="37F90126"/>
    <w:multiLevelType w:val="multilevel"/>
    <w:tmpl w:val="5EBCE4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250857"/>
    <w:multiLevelType w:val="multilevel"/>
    <w:tmpl w:val="5D6EA0A2"/>
    <w:lvl w:ilvl="0">
      <w:start w:val="1"/>
      <w:numFmt w:val="decimal"/>
      <w:pStyle w:val="Overskrift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840C3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E52365"/>
    <w:multiLevelType w:val="hybridMultilevel"/>
    <w:tmpl w:val="BD2A70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FF53EE0"/>
    <w:multiLevelType w:val="multilevel"/>
    <w:tmpl w:val="532C57CA"/>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B95834"/>
    <w:multiLevelType w:val="hybridMultilevel"/>
    <w:tmpl w:val="002600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72C7A2F"/>
    <w:multiLevelType w:val="hybridMultilevel"/>
    <w:tmpl w:val="73F64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99011A"/>
    <w:multiLevelType w:val="hybridMultilevel"/>
    <w:tmpl w:val="F8D49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C407BEC"/>
    <w:multiLevelType w:val="multilevel"/>
    <w:tmpl w:val="99E6983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8"/>
  </w:num>
  <w:num w:numId="3">
    <w:abstractNumId w:val="3"/>
  </w:num>
  <w:num w:numId="4">
    <w:abstractNumId w:val="1"/>
  </w:num>
  <w:num w:numId="5">
    <w:abstractNumId w:val="11"/>
  </w:num>
  <w:num w:numId="6">
    <w:abstractNumId w:val="6"/>
  </w:num>
  <w:num w:numId="7">
    <w:abstractNumId w:val="7"/>
  </w:num>
  <w:num w:numId="8">
    <w:abstractNumId w:val="13"/>
  </w:num>
  <w:num w:numId="9">
    <w:abstractNumId w:val="0"/>
  </w:num>
  <w:num w:numId="10">
    <w:abstractNumId w:val="5"/>
  </w:num>
  <w:num w:numId="11">
    <w:abstractNumId w:val="9"/>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0E"/>
    <w:rsid w:val="0001001E"/>
    <w:rsid w:val="00012EB6"/>
    <w:rsid w:val="00021165"/>
    <w:rsid w:val="00022A47"/>
    <w:rsid w:val="000259E7"/>
    <w:rsid w:val="000302E5"/>
    <w:rsid w:val="00041CA2"/>
    <w:rsid w:val="00071821"/>
    <w:rsid w:val="00080306"/>
    <w:rsid w:val="00096A53"/>
    <w:rsid w:val="000B2239"/>
    <w:rsid w:val="00100F95"/>
    <w:rsid w:val="00121706"/>
    <w:rsid w:val="00192F52"/>
    <w:rsid w:val="001930EC"/>
    <w:rsid w:val="00220308"/>
    <w:rsid w:val="002540F0"/>
    <w:rsid w:val="0028578A"/>
    <w:rsid w:val="002A1E42"/>
    <w:rsid w:val="002B32BA"/>
    <w:rsid w:val="002D632C"/>
    <w:rsid w:val="002E1996"/>
    <w:rsid w:val="003007D3"/>
    <w:rsid w:val="0032239F"/>
    <w:rsid w:val="0033554D"/>
    <w:rsid w:val="00366C27"/>
    <w:rsid w:val="003D1443"/>
    <w:rsid w:val="003D2253"/>
    <w:rsid w:val="00410602"/>
    <w:rsid w:val="004176B2"/>
    <w:rsid w:val="00472655"/>
    <w:rsid w:val="00482474"/>
    <w:rsid w:val="004A6FAE"/>
    <w:rsid w:val="004B35ED"/>
    <w:rsid w:val="004B7F11"/>
    <w:rsid w:val="004D426C"/>
    <w:rsid w:val="00503C7F"/>
    <w:rsid w:val="00513D8B"/>
    <w:rsid w:val="00523C47"/>
    <w:rsid w:val="0057438D"/>
    <w:rsid w:val="00596E89"/>
    <w:rsid w:val="005A495D"/>
    <w:rsid w:val="005B050D"/>
    <w:rsid w:val="005B1E4E"/>
    <w:rsid w:val="005B50F2"/>
    <w:rsid w:val="005B65E7"/>
    <w:rsid w:val="00601459"/>
    <w:rsid w:val="0061775D"/>
    <w:rsid w:val="0064370E"/>
    <w:rsid w:val="00657475"/>
    <w:rsid w:val="006741AD"/>
    <w:rsid w:val="006821A9"/>
    <w:rsid w:val="006B4EF5"/>
    <w:rsid w:val="006F54E5"/>
    <w:rsid w:val="00760651"/>
    <w:rsid w:val="0076144C"/>
    <w:rsid w:val="00774AE9"/>
    <w:rsid w:val="00786C53"/>
    <w:rsid w:val="007C1EE4"/>
    <w:rsid w:val="007F0AA2"/>
    <w:rsid w:val="00817FBA"/>
    <w:rsid w:val="00875CFD"/>
    <w:rsid w:val="00897222"/>
    <w:rsid w:val="008D50B3"/>
    <w:rsid w:val="008E7552"/>
    <w:rsid w:val="008F63DC"/>
    <w:rsid w:val="00922088"/>
    <w:rsid w:val="009330CA"/>
    <w:rsid w:val="009745BA"/>
    <w:rsid w:val="009F2B47"/>
    <w:rsid w:val="009F567C"/>
    <w:rsid w:val="00A27419"/>
    <w:rsid w:val="00A4230F"/>
    <w:rsid w:val="00A77109"/>
    <w:rsid w:val="00A80E4E"/>
    <w:rsid w:val="00B20B4E"/>
    <w:rsid w:val="00B22BA3"/>
    <w:rsid w:val="00B421CE"/>
    <w:rsid w:val="00B61955"/>
    <w:rsid w:val="00B73274"/>
    <w:rsid w:val="00BB03D0"/>
    <w:rsid w:val="00BC604F"/>
    <w:rsid w:val="00BD406E"/>
    <w:rsid w:val="00BD4860"/>
    <w:rsid w:val="00C66F75"/>
    <w:rsid w:val="00C95FF5"/>
    <w:rsid w:val="00CE70F1"/>
    <w:rsid w:val="00D0274C"/>
    <w:rsid w:val="00D05831"/>
    <w:rsid w:val="00D66DF2"/>
    <w:rsid w:val="00D826F0"/>
    <w:rsid w:val="00DB3AF5"/>
    <w:rsid w:val="00DF1382"/>
    <w:rsid w:val="00DF39CC"/>
    <w:rsid w:val="00E13B7B"/>
    <w:rsid w:val="00E17203"/>
    <w:rsid w:val="00E3003A"/>
    <w:rsid w:val="00E30468"/>
    <w:rsid w:val="00E33A19"/>
    <w:rsid w:val="00E35772"/>
    <w:rsid w:val="00E35A7D"/>
    <w:rsid w:val="00E47C7A"/>
    <w:rsid w:val="00E64B19"/>
    <w:rsid w:val="00E82CB6"/>
    <w:rsid w:val="00E965AF"/>
    <w:rsid w:val="00EA1EBB"/>
    <w:rsid w:val="00ED0A0E"/>
    <w:rsid w:val="00F2030F"/>
    <w:rsid w:val="00F51801"/>
    <w:rsid w:val="00F75C59"/>
    <w:rsid w:val="00F878D5"/>
    <w:rsid w:val="00F96280"/>
    <w:rsid w:val="00F96FC8"/>
    <w:rsid w:val="00FC7104"/>
    <w:rsid w:val="01756CA5"/>
    <w:rsid w:val="01FC7FB5"/>
    <w:rsid w:val="04127F90"/>
    <w:rsid w:val="0439D771"/>
    <w:rsid w:val="04616FE4"/>
    <w:rsid w:val="0501EF79"/>
    <w:rsid w:val="057FCEC2"/>
    <w:rsid w:val="05D09AB7"/>
    <w:rsid w:val="06564DBC"/>
    <w:rsid w:val="065F778B"/>
    <w:rsid w:val="08014C2F"/>
    <w:rsid w:val="08C05AC5"/>
    <w:rsid w:val="09960C3A"/>
    <w:rsid w:val="0EEEF2E2"/>
    <w:rsid w:val="0F945F8C"/>
    <w:rsid w:val="100F895F"/>
    <w:rsid w:val="10454569"/>
    <w:rsid w:val="10B02446"/>
    <w:rsid w:val="11F1F384"/>
    <w:rsid w:val="12251FEE"/>
    <w:rsid w:val="13A18BA4"/>
    <w:rsid w:val="1511A39E"/>
    <w:rsid w:val="16696ACF"/>
    <w:rsid w:val="176632E7"/>
    <w:rsid w:val="18BB36D1"/>
    <w:rsid w:val="1A213B47"/>
    <w:rsid w:val="1C712A99"/>
    <w:rsid w:val="1CC13078"/>
    <w:rsid w:val="1E13F3A1"/>
    <w:rsid w:val="201B5A41"/>
    <w:rsid w:val="2199FB9E"/>
    <w:rsid w:val="226D8E21"/>
    <w:rsid w:val="22EC759A"/>
    <w:rsid w:val="2413DEF9"/>
    <w:rsid w:val="26AD435F"/>
    <w:rsid w:val="2740AEDA"/>
    <w:rsid w:val="279F2BFB"/>
    <w:rsid w:val="280BC9B1"/>
    <w:rsid w:val="2EEE9E6F"/>
    <w:rsid w:val="2FBFEBCA"/>
    <w:rsid w:val="3384DC79"/>
    <w:rsid w:val="33949135"/>
    <w:rsid w:val="341DC7C5"/>
    <w:rsid w:val="341F126E"/>
    <w:rsid w:val="349625C2"/>
    <w:rsid w:val="34BB4BEC"/>
    <w:rsid w:val="3689286B"/>
    <w:rsid w:val="38330858"/>
    <w:rsid w:val="38748785"/>
    <w:rsid w:val="38EDFAFE"/>
    <w:rsid w:val="3AA81D64"/>
    <w:rsid w:val="3E25BA5D"/>
    <w:rsid w:val="3E3E0AE8"/>
    <w:rsid w:val="3E9F9E1F"/>
    <w:rsid w:val="407017DB"/>
    <w:rsid w:val="4128D7C7"/>
    <w:rsid w:val="42212EDB"/>
    <w:rsid w:val="434B706D"/>
    <w:rsid w:val="43A7250D"/>
    <w:rsid w:val="4A481642"/>
    <w:rsid w:val="4BE629E8"/>
    <w:rsid w:val="4E8A6210"/>
    <w:rsid w:val="50048198"/>
    <w:rsid w:val="5084AF31"/>
    <w:rsid w:val="5138703E"/>
    <w:rsid w:val="53A2FCC1"/>
    <w:rsid w:val="55FF7C5E"/>
    <w:rsid w:val="57C177A8"/>
    <w:rsid w:val="57D92A5D"/>
    <w:rsid w:val="59242DEF"/>
    <w:rsid w:val="595D88BF"/>
    <w:rsid w:val="59C4EE8A"/>
    <w:rsid w:val="5AD49E1A"/>
    <w:rsid w:val="5BB1239C"/>
    <w:rsid w:val="5D59C829"/>
    <w:rsid w:val="5D975C57"/>
    <w:rsid w:val="6299565F"/>
    <w:rsid w:val="6363DB0A"/>
    <w:rsid w:val="65305D3E"/>
    <w:rsid w:val="65B2EAB9"/>
    <w:rsid w:val="660E7152"/>
    <w:rsid w:val="664500CC"/>
    <w:rsid w:val="665390D1"/>
    <w:rsid w:val="67072155"/>
    <w:rsid w:val="67AB6B6C"/>
    <w:rsid w:val="682FD460"/>
    <w:rsid w:val="6B5999A6"/>
    <w:rsid w:val="6B5C324E"/>
    <w:rsid w:val="6B5C451B"/>
    <w:rsid w:val="6C3C28DC"/>
    <w:rsid w:val="6C81C155"/>
    <w:rsid w:val="70A1C0B2"/>
    <w:rsid w:val="7373B15A"/>
    <w:rsid w:val="73AF6927"/>
    <w:rsid w:val="747EACD0"/>
    <w:rsid w:val="783B89F6"/>
    <w:rsid w:val="7952091A"/>
    <w:rsid w:val="7D42BB14"/>
    <w:rsid w:val="7E163110"/>
    <w:rsid w:val="7E2243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1260"/>
  <w15:chartTrackingRefBased/>
  <w15:docId w15:val="{05BA1C3C-B436-4665-B2E0-BF4DF3E5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DC"/>
  </w:style>
  <w:style w:type="paragraph" w:styleId="Overskrift2">
    <w:name w:val="heading 2"/>
    <w:basedOn w:val="Normal"/>
    <w:next w:val="Normal"/>
    <w:link w:val="Overskrift2Tegn"/>
    <w:uiPriority w:val="9"/>
    <w:unhideWhenUsed/>
    <w:qFormat/>
    <w:rsid w:val="00E172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17203"/>
    <w:pPr>
      <w:keepNext/>
      <w:keepLines/>
      <w:numPr>
        <w:numId w:val="6"/>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4370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82CB6"/>
    <w:pPr>
      <w:ind w:left="720"/>
      <w:contextualSpacing/>
    </w:pPr>
  </w:style>
  <w:style w:type="paragraph" w:customStyle="1" w:styleId="Ingenmellomrom1">
    <w:name w:val="Ingen mellomrom1"/>
    <w:uiPriority w:val="1"/>
    <w:qFormat/>
    <w:rsid w:val="00E82CB6"/>
    <w:pPr>
      <w:spacing w:after="0" w:line="240" w:lineRule="auto"/>
    </w:pPr>
    <w:rPr>
      <w:rFonts w:ascii="Times New Roman" w:eastAsia="Calibri" w:hAnsi="Times New Roman" w:cs="Times New Roman"/>
      <w:sz w:val="23"/>
    </w:rPr>
  </w:style>
  <w:style w:type="character" w:styleId="Merknadsreferanse">
    <w:name w:val="annotation reference"/>
    <w:basedOn w:val="Standardskriftforavsnitt"/>
    <w:uiPriority w:val="99"/>
    <w:semiHidden/>
    <w:unhideWhenUsed/>
    <w:rsid w:val="00E82CB6"/>
    <w:rPr>
      <w:sz w:val="16"/>
      <w:szCs w:val="16"/>
    </w:rPr>
  </w:style>
  <w:style w:type="paragraph" w:styleId="Merknadstekst">
    <w:name w:val="annotation text"/>
    <w:basedOn w:val="Normal"/>
    <w:link w:val="MerknadstekstTegn"/>
    <w:uiPriority w:val="99"/>
    <w:semiHidden/>
    <w:unhideWhenUsed/>
    <w:rsid w:val="00E82CB6"/>
    <w:pPr>
      <w:spacing w:after="200" w:line="240" w:lineRule="auto"/>
    </w:pPr>
    <w:rPr>
      <w:rFonts w:ascii="Times New Roman" w:eastAsia="Calibri" w:hAnsi="Times New Roman" w:cs="Times New Roman"/>
      <w:sz w:val="20"/>
      <w:szCs w:val="20"/>
    </w:rPr>
  </w:style>
  <w:style w:type="character" w:customStyle="1" w:styleId="MerknadstekstTegn">
    <w:name w:val="Merknadstekst Tegn"/>
    <w:basedOn w:val="Standardskriftforavsnitt"/>
    <w:link w:val="Merknadstekst"/>
    <w:uiPriority w:val="99"/>
    <w:semiHidden/>
    <w:rsid w:val="00E82CB6"/>
    <w:rPr>
      <w:rFonts w:ascii="Times New Roman" w:eastAsia="Calibri" w:hAnsi="Times New Roman" w:cs="Times New Roman"/>
      <w:sz w:val="20"/>
      <w:szCs w:val="20"/>
    </w:rPr>
  </w:style>
  <w:style w:type="paragraph" w:styleId="Bobletekst">
    <w:name w:val="Balloon Text"/>
    <w:basedOn w:val="Normal"/>
    <w:link w:val="BobletekstTegn"/>
    <w:uiPriority w:val="99"/>
    <w:semiHidden/>
    <w:unhideWhenUsed/>
    <w:rsid w:val="00D826F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26F0"/>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BC604F"/>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BC604F"/>
    <w:rPr>
      <w:rFonts w:ascii="Times New Roman" w:eastAsia="Calibri" w:hAnsi="Times New Roman" w:cs="Times New Roman"/>
      <w:b/>
      <w:bCs/>
      <w:sz w:val="20"/>
      <w:szCs w:val="20"/>
    </w:rPr>
  </w:style>
  <w:style w:type="character" w:customStyle="1" w:styleId="Overskrift2Tegn">
    <w:name w:val="Overskrift 2 Tegn"/>
    <w:basedOn w:val="Standardskriftforavsnitt"/>
    <w:link w:val="Overskrift2"/>
    <w:uiPriority w:val="9"/>
    <w:rsid w:val="00E1720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17203"/>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E17203"/>
    <w:pPr>
      <w:spacing w:after="0" w:line="240" w:lineRule="auto"/>
      <w:contextualSpacing/>
    </w:pPr>
    <w:rPr>
      <w:rFonts w:ascii="Arial" w:eastAsiaTheme="majorEastAsia" w:hAnsi="Arial" w:cstheme="majorBidi"/>
      <w:spacing w:val="-10"/>
      <w:kern w:val="28"/>
      <w:sz w:val="36"/>
      <w:szCs w:val="56"/>
    </w:rPr>
  </w:style>
  <w:style w:type="character" w:customStyle="1" w:styleId="TittelTegn">
    <w:name w:val="Tittel Tegn"/>
    <w:basedOn w:val="Standardskriftforavsnitt"/>
    <w:link w:val="Tittel"/>
    <w:uiPriority w:val="10"/>
    <w:rsid w:val="00E17203"/>
    <w:rPr>
      <w:rFonts w:ascii="Arial" w:eastAsiaTheme="majorEastAsia" w:hAnsi="Arial" w:cstheme="majorBidi"/>
      <w:spacing w:val="-10"/>
      <w:kern w:val="28"/>
      <w:sz w:val="36"/>
      <w:szCs w:val="56"/>
    </w:rPr>
  </w:style>
  <w:style w:type="character" w:styleId="Hyperkobling">
    <w:name w:val="Hyperlink"/>
    <w:basedOn w:val="Standardskriftforavsnitt"/>
    <w:uiPriority w:val="99"/>
    <w:unhideWhenUsed/>
    <w:rsid w:val="00E17203"/>
    <w:rPr>
      <w:color w:val="0000FF"/>
      <w:u w:val="single"/>
    </w:rPr>
  </w:style>
  <w:style w:type="paragraph" w:styleId="Topptekst">
    <w:name w:val="header"/>
    <w:basedOn w:val="Normal"/>
    <w:link w:val="TopptekstTegn"/>
    <w:uiPriority w:val="99"/>
    <w:unhideWhenUsed/>
    <w:rsid w:val="00875C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CFD"/>
  </w:style>
  <w:style w:type="paragraph" w:styleId="Bunntekst">
    <w:name w:val="footer"/>
    <w:basedOn w:val="Normal"/>
    <w:link w:val="BunntekstTegn"/>
    <w:uiPriority w:val="99"/>
    <w:unhideWhenUsed/>
    <w:rsid w:val="00875C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satt.oslomet.no/forskningsevalu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nsatt.oslomet.no/merittering-av-undervis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b6de1e3-f573-4cec-8f59-a63c1ec790c7" xsi:nil="true"/>
    <FolderType xmlns="7b6de1e3-f573-4cec-8f59-a63c1ec790c7" xsi:nil="true"/>
    <AppVersion xmlns="7b6de1e3-f573-4cec-8f59-a63c1ec790c7" xsi:nil="true"/>
    <TeamsChannelId xmlns="7b6de1e3-f573-4cec-8f59-a63c1ec790c7" xsi:nil="true"/>
    <CultureName xmlns="7b6de1e3-f573-4cec-8f59-a63c1ec790c7" xsi:nil="true"/>
    <SharedWithUsers xmlns="7e932265-1969-4504-a4d5-d7bc3ea98413">
      <UserInfo>
        <DisplayName>Cecilie Haugen Horn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26AD2C3A0F14B93F39C979953D623" ma:contentTypeVersion="9" ma:contentTypeDescription="Opprett et nytt dokument." ma:contentTypeScope="" ma:versionID="ac327280a2eef4e3ab1cc3bf28eaafc7">
  <xsd:schema xmlns:xsd="http://www.w3.org/2001/XMLSchema" xmlns:xs="http://www.w3.org/2001/XMLSchema" xmlns:p="http://schemas.microsoft.com/office/2006/metadata/properties" xmlns:ns2="7b6de1e3-f573-4cec-8f59-a63c1ec790c7" xmlns:ns3="7e932265-1969-4504-a4d5-d7bc3ea98413" targetNamespace="http://schemas.microsoft.com/office/2006/metadata/properties" ma:root="true" ma:fieldsID="2e28ccfba50e7a37af74b7b27b08946c" ns2:_="" ns3:_="">
    <xsd:import namespace="7b6de1e3-f573-4cec-8f59-a63c1ec790c7"/>
    <xsd:import namespace="7e932265-1969-4504-a4d5-d7bc3ea98413"/>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de1e3-f573-4cec-8f59-a63c1ec79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32265-1969-4504-a4d5-d7bc3ea9841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6FBD8-09A7-4DA7-8F8C-4CD2028423BB}">
  <ds:schemaRefs>
    <ds:schemaRef ds:uri="http://schemas.microsoft.com/office/2006/metadata/properties"/>
    <ds:schemaRef ds:uri="http://schemas.microsoft.com/office/infopath/2007/PartnerControls"/>
    <ds:schemaRef ds:uri="7b6de1e3-f573-4cec-8f59-a63c1ec790c7"/>
    <ds:schemaRef ds:uri="7e932265-1969-4504-a4d5-d7bc3ea98413"/>
  </ds:schemaRefs>
</ds:datastoreItem>
</file>

<file path=customXml/itemProps2.xml><?xml version="1.0" encoding="utf-8"?>
<ds:datastoreItem xmlns:ds="http://schemas.openxmlformats.org/officeDocument/2006/customXml" ds:itemID="{E1BEE001-8803-4D24-B4DE-5B2F5F16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de1e3-f573-4cec-8f59-a63c1ec790c7"/>
    <ds:schemaRef ds:uri="7e932265-1969-4504-a4d5-d7bc3ea98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DE02E-377A-4453-B490-FE76D5429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1838</Words>
  <Characters>9745</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11560</CharactersWithSpaces>
  <SharedDoc>false</SharedDoc>
  <HLinks>
    <vt:vector size="12" baseType="variant">
      <vt:variant>
        <vt:i4>5505139</vt:i4>
      </vt:variant>
      <vt:variant>
        <vt:i4>3</vt:i4>
      </vt:variant>
      <vt:variant>
        <vt:i4>0</vt:i4>
      </vt:variant>
      <vt:variant>
        <vt:i4>5</vt:i4>
      </vt:variant>
      <vt:variant>
        <vt:lpwstr>https://ansatt.oslomet.no/forskningsevaluering</vt:lpwstr>
      </vt:variant>
      <vt:variant>
        <vt:lpwstr>om_dora</vt:lpwstr>
      </vt:variant>
      <vt:variant>
        <vt:i4>262144</vt:i4>
      </vt:variant>
      <vt:variant>
        <vt:i4>0</vt:i4>
      </vt:variant>
      <vt:variant>
        <vt:i4>0</vt:i4>
      </vt:variant>
      <vt:variant>
        <vt:i4>5</vt:i4>
      </vt:variant>
      <vt:variant>
        <vt:lpwstr>https://ansatt.oslomet.no/merittering-av-undervisere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Foyn</dc:creator>
  <cp:keywords/>
  <dc:description/>
  <cp:lastModifiedBy>Elisabeth Foyn</cp:lastModifiedBy>
  <cp:revision>7</cp:revision>
  <dcterms:created xsi:type="dcterms:W3CDTF">2022-01-18T13:31:00Z</dcterms:created>
  <dcterms:modified xsi:type="dcterms:W3CDTF">2022-01-18T13:43:00Z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0x010100BB326AD2C3A0F14B93F39C979953D623</vt:lpwstr>
  </property>
</Properties>
</file>