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8614" w14:textId="77777777" w:rsidR="00602030" w:rsidRDefault="00602030">
      <w:pPr>
        <w:spacing w:before="120"/>
        <w:jc w:val="center"/>
        <w:rPr>
          <w:b/>
          <w:bCs/>
          <w:sz w:val="32"/>
        </w:rPr>
      </w:pPr>
    </w:p>
    <w:p w14:paraId="00E4A3F5" w14:textId="3296B3BC" w:rsidR="00602030" w:rsidRDefault="00701CA2">
      <w:pPr>
        <w:spacing w:before="120"/>
        <w:jc w:val="center"/>
        <w:rPr>
          <w:b/>
          <w:bCs/>
          <w:sz w:val="32"/>
        </w:rPr>
      </w:pPr>
      <w:r>
        <w:rPr>
          <w:b/>
          <w:bCs/>
          <w:noProof/>
          <w:sz w:val="32"/>
        </w:rPr>
        <w:drawing>
          <wp:inline distT="0" distB="0" distL="0" distR="0" wp14:anchorId="6A977934" wp14:editId="4EB93798">
            <wp:extent cx="1146175" cy="80454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6175" cy="804545"/>
                    </a:xfrm>
                    <a:prstGeom prst="rect">
                      <a:avLst/>
                    </a:prstGeom>
                    <a:noFill/>
                  </pic:spPr>
                </pic:pic>
              </a:graphicData>
            </a:graphic>
          </wp:inline>
        </w:drawing>
      </w:r>
    </w:p>
    <w:p w14:paraId="5E7296B0" w14:textId="77777777" w:rsidR="00602030" w:rsidRDefault="00602030">
      <w:pPr>
        <w:spacing w:before="120"/>
        <w:jc w:val="center"/>
        <w:rPr>
          <w:b/>
          <w:bCs/>
          <w:sz w:val="32"/>
        </w:rPr>
      </w:pPr>
    </w:p>
    <w:p w14:paraId="6D0BCFFA" w14:textId="77777777" w:rsidR="00602030" w:rsidRDefault="00602030">
      <w:pPr>
        <w:spacing w:before="120"/>
        <w:jc w:val="center"/>
        <w:rPr>
          <w:b/>
          <w:bCs/>
          <w:sz w:val="32"/>
        </w:rPr>
      </w:pPr>
    </w:p>
    <w:p w14:paraId="7936A0A7" w14:textId="77777777" w:rsidR="00602030" w:rsidRDefault="00602030">
      <w:pPr>
        <w:spacing w:before="120"/>
        <w:jc w:val="center"/>
        <w:rPr>
          <w:b/>
          <w:bCs/>
          <w:sz w:val="32"/>
        </w:rPr>
      </w:pPr>
    </w:p>
    <w:p w14:paraId="538857CC" w14:textId="0A85AB11" w:rsidR="005A3848" w:rsidRPr="00BD4672" w:rsidRDefault="00BD4672" w:rsidP="005E01B5">
      <w:pPr>
        <w:pStyle w:val="Overskrift2"/>
        <w:jc w:val="center"/>
        <w:rPr>
          <w:b w:val="0"/>
          <w:lang w:val="en-GB"/>
        </w:rPr>
      </w:pPr>
      <w:r w:rsidRPr="00BD4672">
        <w:rPr>
          <w:lang w:val="en-GB"/>
        </w:rPr>
        <w:t>Data processing agreement</w:t>
      </w:r>
    </w:p>
    <w:p w14:paraId="1C99F6A3" w14:textId="77777777" w:rsidR="005A3848" w:rsidRPr="00BD4672" w:rsidRDefault="005A3848">
      <w:pPr>
        <w:spacing w:before="120"/>
        <w:jc w:val="center"/>
        <w:rPr>
          <w:lang w:val="en-GB"/>
        </w:rPr>
      </w:pPr>
    </w:p>
    <w:p w14:paraId="599792B2" w14:textId="5DCB3F21" w:rsidR="005A3848" w:rsidRPr="00BD4672" w:rsidRDefault="00BD4672">
      <w:pPr>
        <w:spacing w:before="120"/>
        <w:jc w:val="center"/>
        <w:rPr>
          <w:lang w:val="en-GB"/>
        </w:rPr>
      </w:pPr>
      <w:r w:rsidRPr="00BD4672">
        <w:rPr>
          <w:lang w:val="en-GB"/>
        </w:rPr>
        <w:t>between</w:t>
      </w:r>
    </w:p>
    <w:p w14:paraId="26E39B72" w14:textId="77777777" w:rsidR="005A3848" w:rsidRPr="00BD4672" w:rsidRDefault="005A3848">
      <w:pPr>
        <w:spacing w:before="120"/>
        <w:jc w:val="center"/>
        <w:rPr>
          <w:lang w:val="en-GB"/>
        </w:rPr>
      </w:pPr>
    </w:p>
    <w:p w14:paraId="37B025F4" w14:textId="41471846" w:rsidR="00570F88" w:rsidRPr="00BD4672" w:rsidRDefault="00C60EB3" w:rsidP="00570F88">
      <w:pPr>
        <w:spacing w:before="120"/>
        <w:jc w:val="center"/>
        <w:rPr>
          <w:lang w:val="en-GB"/>
        </w:rPr>
      </w:pPr>
      <w:r w:rsidRPr="00BD4672">
        <w:rPr>
          <w:highlight w:val="yellow"/>
          <w:lang w:val="en-GB"/>
        </w:rPr>
        <w:t>[</w:t>
      </w:r>
      <w:r w:rsidR="00DC699D" w:rsidRPr="00BD4672">
        <w:rPr>
          <w:highlight w:val="yellow"/>
          <w:lang w:val="en-GB"/>
        </w:rPr>
        <w:t>N</w:t>
      </w:r>
      <w:r w:rsidR="00570F88" w:rsidRPr="00BD4672">
        <w:rPr>
          <w:highlight w:val="yellow"/>
          <w:lang w:val="en-GB"/>
        </w:rPr>
        <w:t>a</w:t>
      </w:r>
      <w:r w:rsidR="00BD4672" w:rsidRPr="00BD4672">
        <w:rPr>
          <w:highlight w:val="yellow"/>
          <w:lang w:val="en-GB"/>
        </w:rPr>
        <w:t>me of ins</w:t>
      </w:r>
      <w:r w:rsidR="00BD4672">
        <w:rPr>
          <w:highlight w:val="yellow"/>
          <w:lang w:val="en-GB"/>
        </w:rPr>
        <w:t>tit</w:t>
      </w:r>
      <w:r w:rsidR="00BD4672" w:rsidRPr="00BD4672">
        <w:rPr>
          <w:highlight w:val="yellow"/>
          <w:lang w:val="en-GB"/>
        </w:rPr>
        <w:t>ution</w:t>
      </w:r>
      <w:r w:rsidRPr="00BD4672">
        <w:rPr>
          <w:highlight w:val="yellow"/>
          <w:lang w:val="en-GB"/>
        </w:rPr>
        <w:t>]</w:t>
      </w:r>
    </w:p>
    <w:p w14:paraId="719FF539" w14:textId="2AEDE3EC" w:rsidR="00701CA2" w:rsidRPr="00BD4672" w:rsidRDefault="00701CA2" w:rsidP="00570F88">
      <w:pPr>
        <w:spacing w:before="120"/>
        <w:jc w:val="center"/>
        <w:rPr>
          <w:highlight w:val="yellow"/>
          <w:lang w:val="en-GB"/>
        </w:rPr>
      </w:pPr>
      <w:r w:rsidRPr="00BD4672">
        <w:rPr>
          <w:highlight w:val="yellow"/>
          <w:lang w:val="en-GB"/>
        </w:rPr>
        <w:t>[Org. n</w:t>
      </w:r>
      <w:r w:rsidR="00BD4672" w:rsidRPr="00BD4672">
        <w:rPr>
          <w:highlight w:val="yellow"/>
          <w:lang w:val="en-GB"/>
        </w:rPr>
        <w:t>o</w:t>
      </w:r>
      <w:r w:rsidRPr="00BD4672">
        <w:rPr>
          <w:highlight w:val="yellow"/>
          <w:lang w:val="en-GB"/>
        </w:rPr>
        <w:t>.]</w:t>
      </w:r>
    </w:p>
    <w:p w14:paraId="1997A333" w14:textId="2EB9A08A" w:rsidR="005A3848" w:rsidRPr="00BD4672" w:rsidRDefault="005054B7" w:rsidP="00570F88">
      <w:pPr>
        <w:spacing w:before="120"/>
        <w:jc w:val="center"/>
        <w:rPr>
          <w:lang w:val="en-GB"/>
        </w:rPr>
      </w:pPr>
      <w:r w:rsidRPr="00BD4672">
        <w:rPr>
          <w:highlight w:val="yellow"/>
          <w:lang w:val="en-GB"/>
        </w:rPr>
        <w:t>[A</w:t>
      </w:r>
      <w:r w:rsidR="00BD4672" w:rsidRPr="00BD4672">
        <w:rPr>
          <w:highlight w:val="yellow"/>
          <w:lang w:val="en-GB"/>
        </w:rPr>
        <w:t>d</w:t>
      </w:r>
      <w:r w:rsidRPr="00BD4672">
        <w:rPr>
          <w:highlight w:val="yellow"/>
          <w:lang w:val="en-GB"/>
        </w:rPr>
        <w:t>dress]</w:t>
      </w:r>
    </w:p>
    <w:p w14:paraId="541AC8C8" w14:textId="11E200FC" w:rsidR="005054B7" w:rsidRPr="00BD4672" w:rsidRDefault="005054B7" w:rsidP="00570F88">
      <w:pPr>
        <w:spacing w:before="120"/>
        <w:jc w:val="center"/>
        <w:rPr>
          <w:lang w:val="en-GB"/>
        </w:rPr>
      </w:pPr>
    </w:p>
    <w:p w14:paraId="7C0EF806" w14:textId="75133013" w:rsidR="00032379" w:rsidRPr="00BD4672" w:rsidRDefault="00570F88">
      <w:pPr>
        <w:spacing w:before="120"/>
        <w:jc w:val="center"/>
        <w:rPr>
          <w:lang w:val="en-GB"/>
        </w:rPr>
      </w:pPr>
      <w:r w:rsidRPr="00BD4672">
        <w:rPr>
          <w:lang w:val="en-GB"/>
        </w:rPr>
        <w:t xml:space="preserve"> </w:t>
      </w:r>
      <w:r w:rsidR="00DF5519" w:rsidRPr="00BD4672">
        <w:rPr>
          <w:lang w:val="en-GB"/>
        </w:rPr>
        <w:t>(</w:t>
      </w:r>
      <w:r w:rsidR="007B3E27" w:rsidRPr="00BD4672">
        <w:rPr>
          <w:lang w:val="en-GB"/>
        </w:rPr>
        <w:t>h</w:t>
      </w:r>
      <w:r w:rsidR="00BD4672" w:rsidRPr="00BD4672">
        <w:rPr>
          <w:lang w:val="en-GB"/>
        </w:rPr>
        <w:t>ereinafter referred to as the</w:t>
      </w:r>
      <w:r w:rsidR="007B3E27" w:rsidRPr="00BD4672">
        <w:rPr>
          <w:lang w:val="en-GB"/>
        </w:rPr>
        <w:t xml:space="preserve"> «</w:t>
      </w:r>
      <w:bookmarkStart w:id="0" w:name="_Hlk153460101"/>
      <w:r w:rsidR="00BD4672" w:rsidRPr="00BD4672">
        <w:rPr>
          <w:lang w:val="en-GB"/>
        </w:rPr>
        <w:t>Controller</w:t>
      </w:r>
      <w:r w:rsidR="007B3E27" w:rsidRPr="00BD4672">
        <w:rPr>
          <w:lang w:val="en-GB"/>
        </w:rPr>
        <w:t>»</w:t>
      </w:r>
      <w:bookmarkEnd w:id="0"/>
      <w:r w:rsidR="00032379" w:rsidRPr="00BD4672">
        <w:rPr>
          <w:lang w:val="en-GB"/>
        </w:rPr>
        <w:t>)</w:t>
      </w:r>
    </w:p>
    <w:p w14:paraId="3F27A0C5" w14:textId="77777777" w:rsidR="005A3848" w:rsidRPr="00BD4672" w:rsidRDefault="005A3848">
      <w:pPr>
        <w:spacing w:before="120"/>
        <w:jc w:val="center"/>
        <w:rPr>
          <w:lang w:val="en-GB"/>
        </w:rPr>
      </w:pPr>
    </w:p>
    <w:p w14:paraId="6E4F8B64" w14:textId="27B324A0" w:rsidR="005A3848" w:rsidRPr="00BD4672" w:rsidRDefault="00BD4672">
      <w:pPr>
        <w:spacing w:before="120"/>
        <w:jc w:val="center"/>
        <w:rPr>
          <w:lang w:val="en-GB"/>
        </w:rPr>
      </w:pPr>
      <w:r w:rsidRPr="00BD4672">
        <w:rPr>
          <w:lang w:val="en-GB"/>
        </w:rPr>
        <w:t>and</w:t>
      </w:r>
    </w:p>
    <w:p w14:paraId="7CA375C2" w14:textId="77777777" w:rsidR="005A3848" w:rsidRPr="00BD4672" w:rsidRDefault="005A3848">
      <w:pPr>
        <w:spacing w:before="120"/>
        <w:jc w:val="center"/>
        <w:rPr>
          <w:lang w:val="en-GB"/>
        </w:rPr>
      </w:pPr>
    </w:p>
    <w:p w14:paraId="25E98C30" w14:textId="2F1206F6" w:rsidR="005A3848" w:rsidRPr="00BD4672" w:rsidRDefault="00C60EB3" w:rsidP="00570F88">
      <w:pPr>
        <w:spacing w:before="120"/>
        <w:jc w:val="center"/>
        <w:rPr>
          <w:lang w:val="en-GB"/>
        </w:rPr>
      </w:pPr>
      <w:r w:rsidRPr="00BD4672">
        <w:rPr>
          <w:highlight w:val="yellow"/>
          <w:lang w:val="en-GB"/>
        </w:rPr>
        <w:t>[</w:t>
      </w:r>
      <w:r w:rsidR="00DC699D" w:rsidRPr="00BD4672">
        <w:rPr>
          <w:highlight w:val="yellow"/>
          <w:lang w:val="en-GB"/>
        </w:rPr>
        <w:t>N</w:t>
      </w:r>
      <w:r w:rsidR="00570F88" w:rsidRPr="00BD4672">
        <w:rPr>
          <w:highlight w:val="yellow"/>
          <w:lang w:val="en-GB"/>
        </w:rPr>
        <w:t>a</w:t>
      </w:r>
      <w:r w:rsidR="00BD4672" w:rsidRPr="00BD4672">
        <w:rPr>
          <w:highlight w:val="yellow"/>
          <w:lang w:val="en-GB"/>
        </w:rPr>
        <w:t>me</w:t>
      </w:r>
      <w:r w:rsidR="00570F88" w:rsidRPr="00BD4672">
        <w:rPr>
          <w:highlight w:val="yellow"/>
          <w:lang w:val="en-GB"/>
        </w:rPr>
        <w:t xml:space="preserve"> </w:t>
      </w:r>
      <w:r w:rsidR="00BD4672" w:rsidRPr="00BD4672">
        <w:rPr>
          <w:highlight w:val="yellow"/>
          <w:lang w:val="en-GB"/>
        </w:rPr>
        <w:t>om service provider</w:t>
      </w:r>
      <w:r w:rsidRPr="00BD4672">
        <w:rPr>
          <w:highlight w:val="yellow"/>
          <w:lang w:val="en-GB"/>
        </w:rPr>
        <w:t>]</w:t>
      </w:r>
    </w:p>
    <w:p w14:paraId="123DE489" w14:textId="1B16B19A" w:rsidR="00701CA2" w:rsidRPr="00BD4672" w:rsidRDefault="00701CA2">
      <w:pPr>
        <w:spacing w:before="120"/>
        <w:jc w:val="center"/>
        <w:rPr>
          <w:highlight w:val="yellow"/>
          <w:lang w:val="en-GB"/>
        </w:rPr>
      </w:pPr>
      <w:r w:rsidRPr="00BD4672">
        <w:rPr>
          <w:highlight w:val="yellow"/>
          <w:lang w:val="en-GB"/>
        </w:rPr>
        <w:t>[Org. n</w:t>
      </w:r>
      <w:r w:rsidR="00BD4672" w:rsidRPr="00BD4672">
        <w:rPr>
          <w:highlight w:val="yellow"/>
          <w:lang w:val="en-GB"/>
        </w:rPr>
        <w:t>o</w:t>
      </w:r>
      <w:r w:rsidRPr="00BD4672">
        <w:rPr>
          <w:highlight w:val="yellow"/>
          <w:lang w:val="en-GB"/>
        </w:rPr>
        <w:t xml:space="preserve">.] </w:t>
      </w:r>
    </w:p>
    <w:p w14:paraId="0BB3D8E5" w14:textId="5B74C149" w:rsidR="005A3848" w:rsidRPr="00BD4672" w:rsidRDefault="005054B7">
      <w:pPr>
        <w:spacing w:before="120"/>
        <w:jc w:val="center"/>
        <w:rPr>
          <w:lang w:val="en-GB"/>
        </w:rPr>
      </w:pPr>
      <w:r w:rsidRPr="00BD4672">
        <w:rPr>
          <w:highlight w:val="yellow"/>
          <w:lang w:val="en-GB"/>
        </w:rPr>
        <w:t>[A</w:t>
      </w:r>
      <w:r w:rsidR="00BD4672" w:rsidRPr="00BD4672">
        <w:rPr>
          <w:highlight w:val="yellow"/>
          <w:lang w:val="en-GB"/>
        </w:rPr>
        <w:t>d</w:t>
      </w:r>
      <w:r w:rsidRPr="00BD4672">
        <w:rPr>
          <w:highlight w:val="yellow"/>
          <w:lang w:val="en-GB"/>
        </w:rPr>
        <w:t>dress]</w:t>
      </w:r>
    </w:p>
    <w:p w14:paraId="69C27DD7" w14:textId="36989D56" w:rsidR="005054B7" w:rsidRPr="00BD4672" w:rsidRDefault="005054B7">
      <w:pPr>
        <w:spacing w:before="120"/>
        <w:jc w:val="center"/>
        <w:rPr>
          <w:lang w:val="en-GB"/>
        </w:rPr>
      </w:pPr>
    </w:p>
    <w:p w14:paraId="0D94794C" w14:textId="47D5A99B" w:rsidR="005A3848" w:rsidRPr="00BD4672" w:rsidRDefault="00570F88">
      <w:pPr>
        <w:spacing w:before="120"/>
        <w:jc w:val="center"/>
        <w:rPr>
          <w:lang w:val="en-GB"/>
        </w:rPr>
      </w:pPr>
      <w:r w:rsidRPr="00BD4672">
        <w:rPr>
          <w:lang w:val="en-GB"/>
        </w:rPr>
        <w:t xml:space="preserve"> </w:t>
      </w:r>
      <w:r w:rsidR="001A6273" w:rsidRPr="00BD4672">
        <w:rPr>
          <w:lang w:val="en-GB"/>
        </w:rPr>
        <w:t>(</w:t>
      </w:r>
      <w:r w:rsidR="007B3E27" w:rsidRPr="00BD4672">
        <w:rPr>
          <w:lang w:val="en-GB"/>
        </w:rPr>
        <w:t>he</w:t>
      </w:r>
      <w:r w:rsidR="00BD4672" w:rsidRPr="00BD4672">
        <w:rPr>
          <w:lang w:val="en-GB"/>
        </w:rPr>
        <w:t>reinafter referred to as</w:t>
      </w:r>
      <w:r w:rsidR="007B3E27" w:rsidRPr="00BD4672">
        <w:rPr>
          <w:lang w:val="en-GB"/>
        </w:rPr>
        <w:t xml:space="preserve"> «</w:t>
      </w:r>
      <w:r w:rsidR="00BD4672" w:rsidRPr="00BD4672">
        <w:rPr>
          <w:lang w:val="en-GB"/>
        </w:rPr>
        <w:t>Processor</w:t>
      </w:r>
      <w:r w:rsidR="007B3E27" w:rsidRPr="00BD4672">
        <w:rPr>
          <w:lang w:val="en-GB"/>
        </w:rPr>
        <w:t>»</w:t>
      </w:r>
      <w:r w:rsidR="001A6273" w:rsidRPr="00BD4672">
        <w:rPr>
          <w:lang w:val="en-GB"/>
        </w:rPr>
        <w:t>)</w:t>
      </w:r>
    </w:p>
    <w:p w14:paraId="13FE239E" w14:textId="77777777" w:rsidR="005A3848" w:rsidRPr="00BD4672" w:rsidRDefault="005A3848">
      <w:pPr>
        <w:spacing w:before="120"/>
        <w:rPr>
          <w:lang w:val="en-GB"/>
        </w:rPr>
      </w:pPr>
    </w:p>
    <w:p w14:paraId="17A9110F" w14:textId="1CF70A85" w:rsidR="005A3848" w:rsidRPr="00BD4672" w:rsidRDefault="00F7557B" w:rsidP="005E01B5">
      <w:pPr>
        <w:pStyle w:val="Overskrift2"/>
        <w:rPr>
          <w:lang w:val="en-GB"/>
        </w:rPr>
      </w:pPr>
      <w:r w:rsidRPr="00BD4672">
        <w:rPr>
          <w:lang w:val="en-GB"/>
        </w:rPr>
        <w:br w:type="page"/>
      </w:r>
      <w:bookmarkStart w:id="1" w:name="_Toc231181833"/>
      <w:r w:rsidRPr="00BD4672">
        <w:rPr>
          <w:lang w:val="en-GB"/>
        </w:rPr>
        <w:lastRenderedPageBreak/>
        <w:t xml:space="preserve">1. </w:t>
      </w:r>
      <w:bookmarkEnd w:id="1"/>
      <w:r w:rsidR="00587F90">
        <w:rPr>
          <w:lang w:val="en-GB"/>
        </w:rPr>
        <w:t>Object</w:t>
      </w:r>
      <w:r w:rsidR="00BD4672" w:rsidRPr="00BD4672">
        <w:rPr>
          <w:lang w:val="en-GB"/>
        </w:rPr>
        <w:t xml:space="preserve"> of the </w:t>
      </w:r>
      <w:r w:rsidR="00BD4672">
        <w:rPr>
          <w:lang w:val="en-GB"/>
        </w:rPr>
        <w:t>a</w:t>
      </w:r>
      <w:r w:rsidR="00BD4672" w:rsidRPr="00BD4672">
        <w:rPr>
          <w:lang w:val="en-GB"/>
        </w:rPr>
        <w:t>greement</w:t>
      </w:r>
      <w:r w:rsidRPr="00BD4672">
        <w:rPr>
          <w:lang w:val="en-GB"/>
        </w:rPr>
        <w:t xml:space="preserve"> </w:t>
      </w:r>
    </w:p>
    <w:p w14:paraId="36E2FD8B" w14:textId="1607B618" w:rsidR="00BD4672" w:rsidRPr="00BD4672" w:rsidRDefault="00BD4672">
      <w:pPr>
        <w:spacing w:before="120"/>
        <w:rPr>
          <w:lang w:val="en-GB"/>
        </w:rPr>
      </w:pPr>
      <w:r w:rsidRPr="00BD4672">
        <w:rPr>
          <w:lang w:val="en-GB"/>
        </w:rPr>
        <w:t>Th</w:t>
      </w:r>
      <w:r>
        <w:rPr>
          <w:lang w:val="en-GB"/>
        </w:rPr>
        <w:t xml:space="preserve">e parties have entered into an agreement on provision of services (the “Main Agreement”), which includes processing of personal data. </w:t>
      </w:r>
    </w:p>
    <w:p w14:paraId="248B3CA1" w14:textId="1C7426FE" w:rsidR="00BD4672" w:rsidRPr="00BD4672" w:rsidRDefault="00BD4672">
      <w:pPr>
        <w:spacing w:before="120"/>
        <w:rPr>
          <w:lang w:val="en-GB"/>
        </w:rPr>
      </w:pPr>
      <w:r w:rsidRPr="00BD4672">
        <w:rPr>
          <w:lang w:val="en-GB"/>
        </w:rPr>
        <w:t>This data processing agreement (the</w:t>
      </w:r>
      <w:r>
        <w:rPr>
          <w:lang w:val="en-GB"/>
        </w:rPr>
        <w:t xml:space="preserve"> “Data Processing Agreement”)</w:t>
      </w:r>
      <w:r w:rsidRPr="00BD4672">
        <w:rPr>
          <w:lang w:val="en-GB"/>
        </w:rPr>
        <w:t xml:space="preserve"> regulate</w:t>
      </w:r>
      <w:r>
        <w:rPr>
          <w:lang w:val="en-GB"/>
        </w:rPr>
        <w:t>s</w:t>
      </w:r>
      <w:r w:rsidRPr="00BD4672">
        <w:rPr>
          <w:lang w:val="en-GB"/>
        </w:rPr>
        <w:t xml:space="preserve"> the </w:t>
      </w:r>
      <w:r>
        <w:rPr>
          <w:lang w:val="en-GB"/>
        </w:rPr>
        <w:t xml:space="preserve">parties’ </w:t>
      </w:r>
      <w:r w:rsidRPr="00BD4672">
        <w:rPr>
          <w:lang w:val="en-GB"/>
        </w:rPr>
        <w:t xml:space="preserve">rights and obligations </w:t>
      </w:r>
      <w:r>
        <w:rPr>
          <w:lang w:val="en-GB"/>
        </w:rPr>
        <w:t>when the Processor processes personal data on behalf of the Controller. The purpose of the Data Processing Agreement is to ensure that personal data is processed in accordance with R</w:t>
      </w:r>
      <w:r w:rsidRPr="00BD4672">
        <w:rPr>
          <w:lang w:val="en-GB"/>
        </w:rPr>
        <w:t>egulation 2016/679</w:t>
      </w:r>
      <w:r>
        <w:rPr>
          <w:lang w:val="en-GB"/>
        </w:rPr>
        <w:t>/EU (the “GDPR”) and other applicable privacy legislation.</w:t>
      </w:r>
    </w:p>
    <w:p w14:paraId="44831EEA" w14:textId="58658CCA" w:rsidR="00BD4672" w:rsidRPr="00BD4672" w:rsidRDefault="00BD4672">
      <w:pPr>
        <w:spacing w:before="120"/>
        <w:rPr>
          <w:lang w:val="en-GB"/>
        </w:rPr>
      </w:pPr>
      <w:bookmarkStart w:id="2" w:name="_Hlk152957378"/>
      <w:r w:rsidRPr="00BD4672">
        <w:rPr>
          <w:lang w:val="en-GB"/>
        </w:rPr>
        <w:t xml:space="preserve">In the event of conflict, the terms of this </w:t>
      </w:r>
      <w:r>
        <w:rPr>
          <w:lang w:val="en-GB"/>
        </w:rPr>
        <w:t xml:space="preserve">Data Processing </w:t>
      </w:r>
      <w:r w:rsidRPr="00BD4672">
        <w:rPr>
          <w:lang w:val="en-GB"/>
        </w:rPr>
        <w:t xml:space="preserve">Agreement will take precedence over the </w:t>
      </w:r>
      <w:r>
        <w:rPr>
          <w:lang w:val="en-GB"/>
        </w:rPr>
        <w:t>P</w:t>
      </w:r>
      <w:r w:rsidRPr="00BD4672">
        <w:rPr>
          <w:lang w:val="en-GB"/>
        </w:rPr>
        <w:t xml:space="preserve">rocessor’s privacy policy </w:t>
      </w:r>
      <w:r>
        <w:rPr>
          <w:lang w:val="en-GB"/>
        </w:rPr>
        <w:t>and the</w:t>
      </w:r>
      <w:r w:rsidRPr="00BD4672">
        <w:rPr>
          <w:lang w:val="en-GB"/>
        </w:rPr>
        <w:t xml:space="preserve"> terms of </w:t>
      </w:r>
      <w:r>
        <w:rPr>
          <w:lang w:val="en-GB"/>
        </w:rPr>
        <w:t xml:space="preserve">the Main Agreement entered into between the Controller and the Processor. </w:t>
      </w:r>
    </w:p>
    <w:bookmarkEnd w:id="2"/>
    <w:p w14:paraId="49E1B36E" w14:textId="77777777" w:rsidR="001E0D63" w:rsidRPr="00FB70B2" w:rsidRDefault="001E0D63">
      <w:pPr>
        <w:spacing w:before="120"/>
        <w:rPr>
          <w:lang w:val="en-GB"/>
        </w:rPr>
      </w:pPr>
    </w:p>
    <w:p w14:paraId="3D35A6DA" w14:textId="6EE12308" w:rsidR="009069FE" w:rsidRPr="00BD4672" w:rsidRDefault="009069FE" w:rsidP="005E01B5">
      <w:pPr>
        <w:pStyle w:val="Overskrift2"/>
        <w:rPr>
          <w:lang w:val="en-GB"/>
        </w:rPr>
      </w:pPr>
      <w:bookmarkStart w:id="3" w:name="_Toc231181834"/>
      <w:r w:rsidRPr="00BD4672">
        <w:rPr>
          <w:lang w:val="en-GB"/>
        </w:rPr>
        <w:t xml:space="preserve">2. </w:t>
      </w:r>
      <w:r w:rsidR="00587F90">
        <w:rPr>
          <w:lang w:val="en-GB"/>
        </w:rPr>
        <w:t>Purpose limitation</w:t>
      </w:r>
    </w:p>
    <w:p w14:paraId="58025BF4" w14:textId="1251DA99" w:rsidR="00BD4672" w:rsidRPr="00BD4672" w:rsidRDefault="00BD4672" w:rsidP="009069FE">
      <w:pPr>
        <w:spacing w:before="120"/>
        <w:rPr>
          <w:lang w:val="en-GB"/>
        </w:rPr>
      </w:pPr>
      <w:bookmarkStart w:id="4" w:name="_Hlk152957687"/>
      <w:r w:rsidRPr="00BD4672">
        <w:rPr>
          <w:lang w:val="en-GB"/>
        </w:rPr>
        <w:t>Th</w:t>
      </w:r>
      <w:r>
        <w:rPr>
          <w:lang w:val="en-GB"/>
        </w:rPr>
        <w:t xml:space="preserve">e purpose of the Processor’s processing of personal data on behalf of the Controller </w:t>
      </w:r>
      <w:r w:rsidR="00587F90">
        <w:rPr>
          <w:lang w:val="en-GB"/>
        </w:rPr>
        <w:t>is</w:t>
      </w:r>
      <w:r>
        <w:rPr>
          <w:lang w:val="en-GB"/>
        </w:rPr>
        <w:t xml:space="preserve"> to deliver and administer the services described in the Main Agreement. A more detailed description of the purpose </w:t>
      </w:r>
      <w:r w:rsidR="00EF0C99">
        <w:rPr>
          <w:lang w:val="en-GB"/>
        </w:rPr>
        <w:t>of the processing is set out in Appendix 1. The Processor cannot process the personal data for any</w:t>
      </w:r>
      <w:r w:rsidR="00EF0C99" w:rsidRPr="00EF0C99">
        <w:rPr>
          <w:lang w:val="en-GB"/>
        </w:rPr>
        <w:t xml:space="preserve"> other purpose without the prior </w:t>
      </w:r>
      <w:r w:rsidR="00587F90">
        <w:rPr>
          <w:lang w:val="en-GB"/>
        </w:rPr>
        <w:t xml:space="preserve">written </w:t>
      </w:r>
      <w:r w:rsidR="00EF0C99" w:rsidRPr="00EF0C99">
        <w:rPr>
          <w:lang w:val="en-GB"/>
        </w:rPr>
        <w:t xml:space="preserve">approval of the </w:t>
      </w:r>
      <w:r w:rsidR="00EF0C99">
        <w:rPr>
          <w:lang w:val="en-GB"/>
        </w:rPr>
        <w:t>C</w:t>
      </w:r>
      <w:r w:rsidR="00EF0C99" w:rsidRPr="00EF0C99">
        <w:rPr>
          <w:lang w:val="en-GB"/>
        </w:rPr>
        <w:t>ontroller.</w:t>
      </w:r>
    </w:p>
    <w:bookmarkEnd w:id="4"/>
    <w:p w14:paraId="076D2541" w14:textId="77777777" w:rsidR="009069FE" w:rsidRPr="00FB70B2" w:rsidRDefault="009069FE" w:rsidP="009069FE">
      <w:pPr>
        <w:rPr>
          <w:lang w:val="en-GB" w:eastAsia="en-US"/>
        </w:rPr>
      </w:pPr>
    </w:p>
    <w:p w14:paraId="2D3E451A" w14:textId="58834A23" w:rsidR="00E00B4E" w:rsidRPr="00EF0C99" w:rsidRDefault="00FC2580" w:rsidP="00E00B4E">
      <w:pPr>
        <w:pStyle w:val="Overskrift2"/>
        <w:rPr>
          <w:lang w:val="en-GB"/>
        </w:rPr>
      </w:pPr>
      <w:r w:rsidRPr="00EF0C99">
        <w:rPr>
          <w:lang w:val="en-GB"/>
        </w:rPr>
        <w:t>3</w:t>
      </w:r>
      <w:r w:rsidR="00E00B4E" w:rsidRPr="00EF0C99">
        <w:rPr>
          <w:lang w:val="en-GB"/>
        </w:rPr>
        <w:t xml:space="preserve">. </w:t>
      </w:r>
      <w:r w:rsidR="00EF0C99" w:rsidRPr="00EF0C99">
        <w:rPr>
          <w:lang w:val="en-GB"/>
        </w:rPr>
        <w:t>Types of information and categories of data subjects</w:t>
      </w:r>
      <w:r w:rsidR="00E00B4E" w:rsidRPr="00EF0C99">
        <w:rPr>
          <w:lang w:val="en-GB"/>
        </w:rPr>
        <w:t xml:space="preserve"> </w:t>
      </w:r>
    </w:p>
    <w:p w14:paraId="462686CA" w14:textId="11857052" w:rsidR="00EF0C99" w:rsidRDefault="00EF0C99">
      <w:pPr>
        <w:spacing w:before="120"/>
        <w:rPr>
          <w:lang w:val="en-GB"/>
        </w:rPr>
      </w:pPr>
      <w:bookmarkStart w:id="5" w:name="_Hlk152957775"/>
      <w:r>
        <w:rPr>
          <w:lang w:val="en-GB"/>
        </w:rPr>
        <w:t xml:space="preserve">An overview of which types of </w:t>
      </w:r>
      <w:r w:rsidR="00587F90">
        <w:rPr>
          <w:lang w:val="en-GB"/>
        </w:rPr>
        <w:t>personal data</w:t>
      </w:r>
      <w:r>
        <w:rPr>
          <w:lang w:val="en-GB"/>
        </w:rPr>
        <w:t xml:space="preserve"> and which categories of data subjects the Processor processes on behalf of the Controller under this Data Processing Agreement is set out in in Appendix 1. </w:t>
      </w:r>
    </w:p>
    <w:bookmarkEnd w:id="5"/>
    <w:p w14:paraId="2EB158C7" w14:textId="77777777" w:rsidR="005054B7" w:rsidRPr="00FB70B2" w:rsidRDefault="005054B7" w:rsidP="005E01B5">
      <w:pPr>
        <w:spacing w:before="120"/>
        <w:rPr>
          <w:lang w:val="en-GB"/>
        </w:rPr>
      </w:pPr>
    </w:p>
    <w:p w14:paraId="0ACF5DFF" w14:textId="1A58EA9B" w:rsidR="005A3848" w:rsidRPr="00EF0C99" w:rsidRDefault="00FC2580" w:rsidP="005E01B5">
      <w:pPr>
        <w:pStyle w:val="Overskrift2"/>
        <w:rPr>
          <w:lang w:val="en-GB"/>
        </w:rPr>
      </w:pPr>
      <w:r w:rsidRPr="00EF0C99">
        <w:rPr>
          <w:lang w:val="en-GB"/>
        </w:rPr>
        <w:t>4</w:t>
      </w:r>
      <w:r w:rsidR="00F7557B" w:rsidRPr="00EF0C99">
        <w:rPr>
          <w:lang w:val="en-GB"/>
        </w:rPr>
        <w:t xml:space="preserve">. </w:t>
      </w:r>
      <w:r w:rsidR="00F66BC7" w:rsidRPr="00EF0C99">
        <w:rPr>
          <w:lang w:val="en-GB"/>
        </w:rPr>
        <w:t>Instr</w:t>
      </w:r>
      <w:bookmarkEnd w:id="3"/>
      <w:r w:rsidR="00EF0C99" w:rsidRPr="00EF0C99">
        <w:rPr>
          <w:lang w:val="en-GB"/>
        </w:rPr>
        <w:t>uctions</w:t>
      </w:r>
    </w:p>
    <w:p w14:paraId="3A19BF9C" w14:textId="7FE7F1A0" w:rsidR="00EF0C99" w:rsidRPr="00EF0C99" w:rsidRDefault="00EF0C99">
      <w:pPr>
        <w:spacing w:before="120"/>
        <w:rPr>
          <w:lang w:val="en-GB"/>
        </w:rPr>
      </w:pPr>
      <w:r w:rsidRPr="00EF0C99">
        <w:rPr>
          <w:lang w:val="en-GB"/>
        </w:rPr>
        <w:t>The Processor shall o</w:t>
      </w:r>
      <w:r>
        <w:rPr>
          <w:lang w:val="en-GB"/>
        </w:rPr>
        <w:t>nly process the personal data in accordance with documented instructions from the Controller.</w:t>
      </w:r>
      <w:r w:rsidR="004F4C9F">
        <w:rPr>
          <w:lang w:val="en-GB"/>
        </w:rPr>
        <w:t xml:space="preserve"> Detailed instructions for the </w:t>
      </w:r>
      <w:r w:rsidR="00320FB3">
        <w:rPr>
          <w:lang w:val="en-GB"/>
        </w:rPr>
        <w:t>P</w:t>
      </w:r>
      <w:r w:rsidR="004F4C9F">
        <w:rPr>
          <w:lang w:val="en-GB"/>
        </w:rPr>
        <w:t>rocessor are described in Appendix 1.</w:t>
      </w:r>
    </w:p>
    <w:p w14:paraId="79395B18" w14:textId="038F471D" w:rsidR="00EF0C99" w:rsidRPr="00EF0C99" w:rsidRDefault="00EF0C99">
      <w:pPr>
        <w:spacing w:before="120"/>
        <w:rPr>
          <w:lang w:val="en-GB"/>
        </w:rPr>
      </w:pPr>
      <w:r>
        <w:rPr>
          <w:lang w:val="en-GB"/>
        </w:rPr>
        <w:t xml:space="preserve">This also applies with regards to transfer of personal data to a third country or an international organisation, unless </w:t>
      </w:r>
      <w:r w:rsidRPr="00EF0C99">
        <w:rPr>
          <w:lang w:val="en-GB"/>
        </w:rPr>
        <w:t xml:space="preserve">required by Union or Member State law to which the </w:t>
      </w:r>
      <w:r>
        <w:rPr>
          <w:lang w:val="en-GB"/>
        </w:rPr>
        <w:t>P</w:t>
      </w:r>
      <w:r w:rsidRPr="00EF0C99">
        <w:rPr>
          <w:lang w:val="en-GB"/>
        </w:rPr>
        <w:t>rocessor is subject</w:t>
      </w:r>
      <w:r>
        <w:rPr>
          <w:lang w:val="en-GB"/>
        </w:rPr>
        <w:t xml:space="preserve">. In such cases, </w:t>
      </w:r>
      <w:r w:rsidRPr="00EF0C99">
        <w:rPr>
          <w:lang w:val="en-GB"/>
        </w:rPr>
        <w:t xml:space="preserve">the </w:t>
      </w:r>
      <w:r>
        <w:rPr>
          <w:lang w:val="en-GB"/>
        </w:rPr>
        <w:t>P</w:t>
      </w:r>
      <w:r w:rsidRPr="00EF0C99">
        <w:rPr>
          <w:lang w:val="en-GB"/>
        </w:rPr>
        <w:t xml:space="preserve">rocessor shall inform the </w:t>
      </w:r>
      <w:r>
        <w:rPr>
          <w:lang w:val="en-GB"/>
        </w:rPr>
        <w:t>C</w:t>
      </w:r>
      <w:r w:rsidRPr="00EF0C99">
        <w:rPr>
          <w:lang w:val="en-GB"/>
        </w:rPr>
        <w:t>ontroller of th</w:t>
      </w:r>
      <w:r w:rsidR="00587F90">
        <w:rPr>
          <w:lang w:val="en-GB"/>
        </w:rPr>
        <w:t>at</w:t>
      </w:r>
      <w:r w:rsidRPr="00EF0C99">
        <w:rPr>
          <w:lang w:val="en-GB"/>
        </w:rPr>
        <w:t xml:space="preserve"> legal requirement before processing, unless that law prohibits such information on important grounds of public interest</w:t>
      </w:r>
      <w:r>
        <w:rPr>
          <w:lang w:val="en-GB"/>
        </w:rPr>
        <w:t>.</w:t>
      </w:r>
    </w:p>
    <w:p w14:paraId="4E167225" w14:textId="2500AA48" w:rsidR="00430134" w:rsidRPr="00EF0C99" w:rsidRDefault="00EF0C99">
      <w:pPr>
        <w:spacing w:before="120"/>
        <w:rPr>
          <w:lang w:val="en-GB"/>
        </w:rPr>
      </w:pPr>
      <w:r w:rsidRPr="00EF0C99">
        <w:rPr>
          <w:lang w:val="en-GB"/>
        </w:rPr>
        <w:t>The Processor shall comply with all provisions in this Data Proc</w:t>
      </w:r>
      <w:r>
        <w:rPr>
          <w:lang w:val="en-GB"/>
        </w:rPr>
        <w:t>essing Agreement, in the GDPR, and other applicable privacy l</w:t>
      </w:r>
      <w:r w:rsidR="00587F90">
        <w:rPr>
          <w:lang w:val="en-GB"/>
        </w:rPr>
        <w:t>egislation</w:t>
      </w:r>
      <w:r w:rsidR="001A77A4" w:rsidRPr="00EF0C99">
        <w:rPr>
          <w:lang w:val="en-GB"/>
        </w:rPr>
        <w:t>.</w:t>
      </w:r>
    </w:p>
    <w:p w14:paraId="2258BFC1" w14:textId="760817E2" w:rsidR="001A77A4" w:rsidRPr="00EF0C99" w:rsidRDefault="00EF0C99">
      <w:pPr>
        <w:spacing w:before="120"/>
        <w:rPr>
          <w:lang w:val="en-GB"/>
        </w:rPr>
      </w:pPr>
      <w:r w:rsidRPr="00EF0C99">
        <w:rPr>
          <w:lang w:val="en-GB"/>
        </w:rPr>
        <w:t xml:space="preserve">The Processor shall immediately inform the </w:t>
      </w:r>
      <w:r>
        <w:rPr>
          <w:lang w:val="en-GB"/>
        </w:rPr>
        <w:t>C</w:t>
      </w:r>
      <w:r w:rsidRPr="00EF0C99">
        <w:rPr>
          <w:lang w:val="en-GB"/>
        </w:rPr>
        <w:t xml:space="preserve">ontroller if, in its opinion, an instruction infringes </w:t>
      </w:r>
      <w:r>
        <w:rPr>
          <w:lang w:val="en-GB"/>
        </w:rPr>
        <w:t>the GDPR or other applicable privacy l</w:t>
      </w:r>
      <w:r w:rsidR="00587F90">
        <w:rPr>
          <w:lang w:val="en-GB"/>
        </w:rPr>
        <w:t>egislation</w:t>
      </w:r>
      <w:r w:rsidRPr="00EF0C99">
        <w:rPr>
          <w:lang w:val="en-GB"/>
        </w:rPr>
        <w:t>.</w:t>
      </w:r>
    </w:p>
    <w:p w14:paraId="14F21ED5" w14:textId="77777777" w:rsidR="00C265BD" w:rsidRPr="00FB70B2" w:rsidRDefault="00C265BD">
      <w:pPr>
        <w:spacing w:before="120"/>
        <w:rPr>
          <w:lang w:val="en-GB"/>
        </w:rPr>
      </w:pPr>
    </w:p>
    <w:p w14:paraId="66195EFE" w14:textId="4BBC7024" w:rsidR="00E00B4E" w:rsidRPr="00EF0C99" w:rsidRDefault="00FC2580" w:rsidP="00E00B4E">
      <w:pPr>
        <w:pStyle w:val="Overskrift2"/>
        <w:rPr>
          <w:lang w:val="en-GB"/>
        </w:rPr>
      </w:pPr>
      <w:bookmarkStart w:id="6" w:name="_Toc231181835"/>
      <w:r w:rsidRPr="00EF0C99">
        <w:rPr>
          <w:lang w:val="en-GB"/>
        </w:rPr>
        <w:t>5</w:t>
      </w:r>
      <w:r w:rsidR="00E00B4E" w:rsidRPr="00EF0C99">
        <w:rPr>
          <w:lang w:val="en-GB"/>
        </w:rPr>
        <w:t xml:space="preserve">. </w:t>
      </w:r>
      <w:r w:rsidR="00EF0C99" w:rsidRPr="00EF0C99">
        <w:rPr>
          <w:lang w:val="en-GB"/>
        </w:rPr>
        <w:t>Confidentiality</w:t>
      </w:r>
    </w:p>
    <w:p w14:paraId="4C0D1A84" w14:textId="6AF75285" w:rsidR="00EF0C99" w:rsidRPr="00EF0C99" w:rsidRDefault="00EF0C99" w:rsidP="00E00B4E">
      <w:pPr>
        <w:spacing w:before="120"/>
        <w:rPr>
          <w:lang w:val="en-GB"/>
        </w:rPr>
      </w:pPr>
      <w:r>
        <w:rPr>
          <w:lang w:val="en-GB"/>
        </w:rPr>
        <w:t xml:space="preserve">The personal data </w:t>
      </w:r>
      <w:r w:rsidR="00587F90">
        <w:rPr>
          <w:lang w:val="en-GB"/>
        </w:rPr>
        <w:t xml:space="preserve">processed on behalf of the Controller </w:t>
      </w:r>
      <w:r>
        <w:rPr>
          <w:lang w:val="en-GB"/>
        </w:rPr>
        <w:t xml:space="preserve">shall be made available only to </w:t>
      </w:r>
      <w:r w:rsidR="00587F90">
        <w:rPr>
          <w:lang w:val="en-GB"/>
        </w:rPr>
        <w:t xml:space="preserve">the Processor’s </w:t>
      </w:r>
      <w:r w:rsidRPr="00EF0C99">
        <w:rPr>
          <w:lang w:val="en-GB"/>
        </w:rPr>
        <w:t xml:space="preserve">employees </w:t>
      </w:r>
      <w:r w:rsidR="00587F90">
        <w:rPr>
          <w:lang w:val="en-GB"/>
        </w:rPr>
        <w:t xml:space="preserve">or other affiliated persons </w:t>
      </w:r>
      <w:r w:rsidRPr="00EF0C99">
        <w:rPr>
          <w:lang w:val="en-GB"/>
        </w:rPr>
        <w:t xml:space="preserve">who </w:t>
      </w:r>
      <w:r>
        <w:rPr>
          <w:lang w:val="en-GB"/>
        </w:rPr>
        <w:t>ha</w:t>
      </w:r>
      <w:r w:rsidR="00301CAA">
        <w:rPr>
          <w:lang w:val="en-GB"/>
        </w:rPr>
        <w:t>ve</w:t>
      </w:r>
      <w:r>
        <w:rPr>
          <w:lang w:val="en-GB"/>
        </w:rPr>
        <w:t xml:space="preserve"> a documented </w:t>
      </w:r>
      <w:r w:rsidRPr="00EF0C99">
        <w:rPr>
          <w:lang w:val="en-GB"/>
        </w:rPr>
        <w:t xml:space="preserve">need </w:t>
      </w:r>
      <w:r w:rsidR="00587F90">
        <w:rPr>
          <w:lang w:val="en-GB"/>
        </w:rPr>
        <w:t xml:space="preserve">for such </w:t>
      </w:r>
      <w:r w:rsidRPr="00EF0C99">
        <w:rPr>
          <w:lang w:val="en-GB"/>
        </w:rPr>
        <w:t>access</w:t>
      </w:r>
      <w:r w:rsidR="00587F90">
        <w:rPr>
          <w:lang w:val="en-GB"/>
        </w:rPr>
        <w:t xml:space="preserve"> to</w:t>
      </w:r>
      <w:r w:rsidRPr="00EF0C99">
        <w:rPr>
          <w:lang w:val="en-GB"/>
        </w:rPr>
        <w:t xml:space="preserve"> </w:t>
      </w:r>
      <w:r>
        <w:rPr>
          <w:lang w:val="en-GB"/>
        </w:rPr>
        <w:t xml:space="preserve">the </w:t>
      </w:r>
      <w:r w:rsidRPr="00EF0C99">
        <w:rPr>
          <w:lang w:val="en-GB"/>
        </w:rPr>
        <w:t>personal data.</w:t>
      </w:r>
    </w:p>
    <w:p w14:paraId="2E655BD6" w14:textId="46F8412C" w:rsidR="00236E1A" w:rsidRPr="00236E1A" w:rsidRDefault="00236E1A" w:rsidP="00E00B4E">
      <w:pPr>
        <w:spacing w:before="120"/>
        <w:rPr>
          <w:lang w:val="en-GB"/>
        </w:rPr>
      </w:pPr>
      <w:r w:rsidRPr="00236E1A">
        <w:rPr>
          <w:lang w:val="en-GB"/>
        </w:rPr>
        <w:lastRenderedPageBreak/>
        <w:t>The Processor shall ensure t</w:t>
      </w:r>
      <w:r>
        <w:rPr>
          <w:lang w:val="en-GB"/>
        </w:rPr>
        <w:t>hat such employees or other persons who are authorised to process the personal data are subject to a duty of confidentiality with regards to document</w:t>
      </w:r>
      <w:r w:rsidR="00301CAA">
        <w:rPr>
          <w:lang w:val="en-GB"/>
        </w:rPr>
        <w:t>ation</w:t>
      </w:r>
      <w:r>
        <w:rPr>
          <w:lang w:val="en-GB"/>
        </w:rPr>
        <w:t xml:space="preserve"> and personal data accessed under this Data Processing Agreement. This provision also applies after the expiration of th</w:t>
      </w:r>
      <w:r w:rsidR="00301CAA">
        <w:rPr>
          <w:lang w:val="en-GB"/>
        </w:rPr>
        <w:t>e</w:t>
      </w:r>
      <w:r>
        <w:rPr>
          <w:lang w:val="en-GB"/>
        </w:rPr>
        <w:t xml:space="preserve"> Data Processing Agreement. </w:t>
      </w:r>
      <w:r w:rsidRPr="00236E1A">
        <w:rPr>
          <w:lang w:val="en-GB"/>
        </w:rPr>
        <w:t xml:space="preserve">The duty of confidentiality includes </w:t>
      </w:r>
      <w:r w:rsidR="00301CAA">
        <w:rPr>
          <w:lang w:val="en-GB"/>
        </w:rPr>
        <w:t xml:space="preserve">the employees of </w:t>
      </w:r>
      <w:r w:rsidRPr="00236E1A">
        <w:rPr>
          <w:lang w:val="en-GB"/>
        </w:rPr>
        <w:t>third p</w:t>
      </w:r>
      <w:r>
        <w:rPr>
          <w:lang w:val="en-GB"/>
        </w:rPr>
        <w:t xml:space="preserve">arties </w:t>
      </w:r>
      <w:r w:rsidR="00301CAA">
        <w:rPr>
          <w:lang w:val="en-GB"/>
        </w:rPr>
        <w:t>carrying</w:t>
      </w:r>
      <w:r>
        <w:rPr>
          <w:lang w:val="en-GB"/>
        </w:rPr>
        <w:t xml:space="preserve"> out maintenance </w:t>
      </w:r>
      <w:r w:rsidR="00301CAA">
        <w:rPr>
          <w:lang w:val="en-GB"/>
        </w:rPr>
        <w:t xml:space="preserve">of </w:t>
      </w:r>
      <w:r>
        <w:rPr>
          <w:lang w:val="en-GB"/>
        </w:rPr>
        <w:t>(or similar tasks</w:t>
      </w:r>
      <w:r w:rsidR="00301CAA">
        <w:rPr>
          <w:lang w:val="en-GB"/>
        </w:rPr>
        <w:t xml:space="preserve"> related to</w:t>
      </w:r>
      <w:r>
        <w:rPr>
          <w:lang w:val="en-GB"/>
        </w:rPr>
        <w:t xml:space="preserve">) systems, equipment, networks, or buildings used by the Processor to provide or administer the services under the Main Agreement. </w:t>
      </w:r>
    </w:p>
    <w:p w14:paraId="39DC73E8" w14:textId="77777777" w:rsidR="00E00B4E" w:rsidRPr="00FB70B2" w:rsidRDefault="00E00B4E" w:rsidP="00E00B4E">
      <w:pPr>
        <w:spacing w:before="120"/>
        <w:rPr>
          <w:lang w:val="en-GB"/>
        </w:rPr>
      </w:pPr>
    </w:p>
    <w:p w14:paraId="59FD2B18" w14:textId="296DFD7D" w:rsidR="00E00B4E" w:rsidRPr="00236E1A" w:rsidRDefault="00E00B4E" w:rsidP="00E00B4E">
      <w:pPr>
        <w:pStyle w:val="Overskrift2"/>
        <w:rPr>
          <w:lang w:val="en-GB"/>
        </w:rPr>
      </w:pPr>
      <w:r w:rsidRPr="00236E1A">
        <w:rPr>
          <w:lang w:val="en-GB"/>
        </w:rPr>
        <w:t>6. Informa</w:t>
      </w:r>
      <w:r w:rsidR="00236E1A" w:rsidRPr="00236E1A">
        <w:rPr>
          <w:lang w:val="en-GB"/>
        </w:rPr>
        <w:t>tion security</w:t>
      </w:r>
    </w:p>
    <w:p w14:paraId="171D4226" w14:textId="1A4DA851" w:rsidR="00236E1A" w:rsidRPr="00236E1A" w:rsidRDefault="00236E1A" w:rsidP="00236E1A">
      <w:pPr>
        <w:spacing w:before="120"/>
        <w:rPr>
          <w:lang w:val="en-US"/>
        </w:rPr>
      </w:pPr>
      <w:r w:rsidRPr="00236E1A">
        <w:rPr>
          <w:lang w:val="en-GB" w:bidi="en-GB"/>
        </w:rPr>
        <w:t xml:space="preserve">The </w:t>
      </w:r>
      <w:r w:rsidR="00301CAA">
        <w:rPr>
          <w:lang w:val="en-GB" w:bidi="en-GB"/>
        </w:rPr>
        <w:t>P</w:t>
      </w:r>
      <w:r w:rsidRPr="00236E1A">
        <w:rPr>
          <w:lang w:val="en-GB" w:bidi="en-GB"/>
        </w:rPr>
        <w:t xml:space="preserve">rocessor </w:t>
      </w:r>
      <w:r>
        <w:rPr>
          <w:lang w:val="en-GB" w:bidi="en-GB"/>
        </w:rPr>
        <w:t>shall</w:t>
      </w:r>
      <w:r w:rsidRPr="00236E1A">
        <w:rPr>
          <w:lang w:val="en-GB" w:bidi="en-GB"/>
        </w:rPr>
        <w:t xml:space="preserve"> implement appropriate technical, physical and organisational safety measures to ensure a level of security appropriate to the risks</w:t>
      </w:r>
      <w:r>
        <w:rPr>
          <w:lang w:val="en-GB" w:bidi="en-GB"/>
        </w:rPr>
        <w:t>, in order to s</w:t>
      </w:r>
      <w:r w:rsidRPr="00236E1A">
        <w:rPr>
          <w:lang w:val="en-GB" w:bidi="en-GB"/>
        </w:rPr>
        <w:t>afeguard the personal data covered by this</w:t>
      </w:r>
      <w:r>
        <w:rPr>
          <w:lang w:val="en-GB" w:bidi="en-GB"/>
        </w:rPr>
        <w:t xml:space="preserve"> Data Processing A</w:t>
      </w:r>
      <w:r w:rsidRPr="00236E1A">
        <w:rPr>
          <w:lang w:val="en-GB" w:bidi="en-GB"/>
        </w:rPr>
        <w:t xml:space="preserve">greement from unauthorised or unlawful access, alteration, erasure, damage, loss, or unavailability. </w:t>
      </w:r>
      <w:r>
        <w:rPr>
          <w:lang w:val="en-GB" w:bidi="en-GB"/>
        </w:rPr>
        <w:t xml:space="preserve">The Processor shall take all measures required pursuant to GDPR article </w:t>
      </w:r>
      <w:r w:rsidR="00505205">
        <w:rPr>
          <w:lang w:val="en-GB" w:bidi="en-GB"/>
        </w:rPr>
        <w:t>32 and</w:t>
      </w:r>
      <w:r>
        <w:rPr>
          <w:lang w:val="en-GB" w:bidi="en-GB"/>
        </w:rPr>
        <w:t xml:space="preserve"> assist the Controller </w:t>
      </w:r>
      <w:r w:rsidR="00505205" w:rsidRPr="00505205">
        <w:rPr>
          <w:lang w:val="en-GB" w:bidi="en-GB"/>
        </w:rPr>
        <w:t xml:space="preserve">in ensuring compliance with </w:t>
      </w:r>
      <w:r w:rsidR="00505205">
        <w:rPr>
          <w:lang w:val="en-GB" w:bidi="en-GB"/>
        </w:rPr>
        <w:t>its</w:t>
      </w:r>
      <w:r w:rsidR="00505205" w:rsidRPr="00505205">
        <w:rPr>
          <w:lang w:val="en-GB" w:bidi="en-GB"/>
        </w:rPr>
        <w:t xml:space="preserve"> obligations pursuant to</w:t>
      </w:r>
      <w:r w:rsidR="00505205">
        <w:rPr>
          <w:lang w:val="en-GB" w:bidi="en-GB"/>
        </w:rPr>
        <w:t xml:space="preserve"> this provision. </w:t>
      </w:r>
      <w:r w:rsidR="00167F79">
        <w:rPr>
          <w:lang w:val="en-GB" w:bidi="en-GB"/>
        </w:rPr>
        <w:t>S</w:t>
      </w:r>
      <w:r w:rsidR="006601AA">
        <w:rPr>
          <w:lang w:val="en-GB" w:bidi="en-GB"/>
        </w:rPr>
        <w:t>ecurity measures are listed in the Appendix 1.</w:t>
      </w:r>
    </w:p>
    <w:p w14:paraId="2170CA57" w14:textId="5EA0F3C8" w:rsidR="00236E1A" w:rsidRPr="00236E1A" w:rsidRDefault="00505205" w:rsidP="00E00B4E">
      <w:pPr>
        <w:spacing w:before="120"/>
        <w:rPr>
          <w:lang w:val="en-US"/>
        </w:rPr>
      </w:pPr>
      <w:r>
        <w:rPr>
          <w:lang w:val="en-US"/>
        </w:rPr>
        <w:t xml:space="preserve">As a minimum, the Processor shall </w:t>
      </w:r>
      <w:r w:rsidR="003D521B" w:rsidRPr="003D521B">
        <w:rPr>
          <w:lang w:val="en-US"/>
        </w:rPr>
        <w:t xml:space="preserve">carry out risk assessments and </w:t>
      </w:r>
      <w:r w:rsidR="003D521B">
        <w:rPr>
          <w:lang w:val="en-US"/>
        </w:rPr>
        <w:t>establish</w:t>
      </w:r>
      <w:r w:rsidR="003D521B" w:rsidRPr="003D521B">
        <w:rPr>
          <w:lang w:val="en-US"/>
        </w:rPr>
        <w:t xml:space="preserve"> measures to mitigate risks,</w:t>
      </w:r>
      <w:r w:rsidR="003D521B">
        <w:rPr>
          <w:lang w:val="en-US"/>
        </w:rPr>
        <w:t xml:space="preserve"> </w:t>
      </w:r>
      <w:r>
        <w:rPr>
          <w:lang w:val="en-US"/>
        </w:rPr>
        <w:t xml:space="preserve">establish </w:t>
      </w:r>
      <w:r w:rsidRPr="00505205">
        <w:rPr>
          <w:lang w:val="en-US"/>
        </w:rPr>
        <w:t>continuity- and contingency plans for effective handling of serious security incidents</w:t>
      </w:r>
      <w:r>
        <w:rPr>
          <w:lang w:val="en-US"/>
        </w:rPr>
        <w:t xml:space="preserve"> and provide employees with information and training on information security. The </w:t>
      </w:r>
      <w:r w:rsidR="00301CAA">
        <w:rPr>
          <w:lang w:val="en-US"/>
        </w:rPr>
        <w:t>P</w:t>
      </w:r>
      <w:r>
        <w:rPr>
          <w:lang w:val="en-US"/>
        </w:rPr>
        <w:t xml:space="preserve">rocessor shall also on a regular basis carry out security audits of their own work on protection of personal data and </w:t>
      </w:r>
      <w:r w:rsidR="00301CAA">
        <w:rPr>
          <w:lang w:val="en-US"/>
        </w:rPr>
        <w:t xml:space="preserve">of </w:t>
      </w:r>
      <w:r>
        <w:rPr>
          <w:lang w:val="en-US"/>
        </w:rPr>
        <w:t xml:space="preserve">the systems and other relevant tools used for processing of the personal data related to the service provided under the Main Agreement. </w:t>
      </w:r>
    </w:p>
    <w:p w14:paraId="706EE34B" w14:textId="77777777" w:rsidR="00E00B4E" w:rsidRPr="00FB70B2" w:rsidRDefault="00E00B4E" w:rsidP="00E00B4E">
      <w:pPr>
        <w:spacing w:before="120"/>
        <w:rPr>
          <w:lang w:val="en-GB"/>
        </w:rPr>
      </w:pPr>
    </w:p>
    <w:p w14:paraId="1F8E0950" w14:textId="6B48F5EF" w:rsidR="005A3848" w:rsidRPr="0082529E" w:rsidRDefault="00FC2580" w:rsidP="005E01B5">
      <w:pPr>
        <w:pStyle w:val="Overskrift2"/>
        <w:rPr>
          <w:lang w:val="en-GB"/>
        </w:rPr>
      </w:pPr>
      <w:r w:rsidRPr="0082529E">
        <w:rPr>
          <w:lang w:val="en-GB"/>
        </w:rPr>
        <w:t>7</w:t>
      </w:r>
      <w:r w:rsidR="00F7557B" w:rsidRPr="0082529E">
        <w:rPr>
          <w:lang w:val="en-GB"/>
        </w:rPr>
        <w:t xml:space="preserve">. </w:t>
      </w:r>
      <w:bookmarkEnd w:id="6"/>
      <w:r w:rsidR="0082529E" w:rsidRPr="0082529E">
        <w:rPr>
          <w:lang w:val="en-GB"/>
        </w:rPr>
        <w:t>The rights of the d</w:t>
      </w:r>
      <w:r w:rsidR="0082529E">
        <w:rPr>
          <w:lang w:val="en-GB"/>
        </w:rPr>
        <w:t>ata subjects</w:t>
      </w:r>
    </w:p>
    <w:p w14:paraId="1CE84017" w14:textId="021692C6" w:rsidR="0082529E" w:rsidRPr="0082529E" w:rsidRDefault="0082529E" w:rsidP="0082529E">
      <w:pPr>
        <w:spacing w:before="120"/>
        <w:rPr>
          <w:lang w:val="en-GB"/>
        </w:rPr>
      </w:pPr>
      <w:r>
        <w:rPr>
          <w:lang w:val="en-GB"/>
        </w:rPr>
        <w:t xml:space="preserve">The Processor shall, to the extent possible when </w:t>
      </w:r>
      <w:r w:rsidRPr="0082529E">
        <w:rPr>
          <w:lang w:val="en-GB"/>
        </w:rPr>
        <w:t>taking into account the nature of the processing</w:t>
      </w:r>
      <w:r w:rsidR="00301CAA" w:rsidRPr="00301CAA">
        <w:rPr>
          <w:lang w:val="en-GB"/>
        </w:rPr>
        <w:t xml:space="preserve"> </w:t>
      </w:r>
      <w:r w:rsidR="00301CAA">
        <w:rPr>
          <w:lang w:val="en-GB"/>
        </w:rPr>
        <w:t xml:space="preserve">and </w:t>
      </w:r>
      <w:r w:rsidR="00301CAA" w:rsidRPr="0082529E">
        <w:rPr>
          <w:lang w:val="en-GB"/>
        </w:rPr>
        <w:t>by appropriate technical and organisational measures</w:t>
      </w:r>
      <w:r>
        <w:rPr>
          <w:lang w:val="en-GB"/>
        </w:rPr>
        <w:t>,</w:t>
      </w:r>
      <w:r w:rsidRPr="0082529E">
        <w:rPr>
          <w:lang w:val="en-GB"/>
        </w:rPr>
        <w:t xml:space="preserve"> assist the </w:t>
      </w:r>
      <w:r>
        <w:rPr>
          <w:lang w:val="en-GB"/>
        </w:rPr>
        <w:t>C</w:t>
      </w:r>
      <w:r w:rsidRPr="0082529E">
        <w:rPr>
          <w:lang w:val="en-GB"/>
        </w:rPr>
        <w:t xml:space="preserve">ontroller </w:t>
      </w:r>
      <w:r>
        <w:rPr>
          <w:lang w:val="en-GB"/>
        </w:rPr>
        <w:t>with</w:t>
      </w:r>
      <w:r w:rsidRPr="0082529E">
        <w:rPr>
          <w:lang w:val="en-GB"/>
        </w:rPr>
        <w:t xml:space="preserve"> fulfil</w:t>
      </w:r>
      <w:r>
        <w:rPr>
          <w:lang w:val="en-GB"/>
        </w:rPr>
        <w:t>ling</w:t>
      </w:r>
      <w:r w:rsidRPr="0082529E">
        <w:rPr>
          <w:lang w:val="en-GB"/>
        </w:rPr>
        <w:t xml:space="preserve"> the </w:t>
      </w:r>
      <w:r>
        <w:rPr>
          <w:lang w:val="en-GB"/>
        </w:rPr>
        <w:t>C</w:t>
      </w:r>
      <w:r w:rsidRPr="0082529E">
        <w:rPr>
          <w:lang w:val="en-GB"/>
        </w:rPr>
        <w:t>ontroller's obligation to respond to requests for exercising the data subject's rights</w:t>
      </w:r>
      <w:r>
        <w:rPr>
          <w:lang w:val="en-GB"/>
        </w:rPr>
        <w:t>.</w:t>
      </w:r>
    </w:p>
    <w:p w14:paraId="3AD9F907" w14:textId="37096223" w:rsidR="0082529E" w:rsidRPr="0082529E" w:rsidRDefault="0082529E">
      <w:pPr>
        <w:spacing w:before="120"/>
        <w:rPr>
          <w:lang w:val="en-GB"/>
        </w:rPr>
      </w:pPr>
      <w:r w:rsidRPr="0082529E">
        <w:rPr>
          <w:lang w:val="en-GB"/>
        </w:rPr>
        <w:t xml:space="preserve">The rights of the data subjects include, but </w:t>
      </w:r>
      <w:r>
        <w:rPr>
          <w:lang w:val="en-GB"/>
        </w:rPr>
        <w:t xml:space="preserve">are </w:t>
      </w:r>
      <w:r w:rsidRPr="0082529E">
        <w:rPr>
          <w:lang w:val="en-GB"/>
        </w:rPr>
        <w:t>not limited to, the right to information on how his or her personal data is processed, the right to request access to personal data, the right to request corrections to, or erasure of</w:t>
      </w:r>
      <w:r w:rsidR="00301CAA">
        <w:rPr>
          <w:lang w:val="en-GB"/>
        </w:rPr>
        <w:t>,</w:t>
      </w:r>
      <w:r w:rsidRPr="0082529E">
        <w:rPr>
          <w:lang w:val="en-GB"/>
        </w:rPr>
        <w:t xml:space="preserve"> their own personal data, and the right to require restriction of processing of their personal data.</w:t>
      </w:r>
    </w:p>
    <w:p w14:paraId="5D974920" w14:textId="34EE761E" w:rsidR="0082529E" w:rsidRPr="0082529E" w:rsidRDefault="0082529E">
      <w:pPr>
        <w:spacing w:before="120"/>
        <w:rPr>
          <w:lang w:val="en-GB"/>
        </w:rPr>
      </w:pPr>
      <w:r w:rsidRPr="0082529E">
        <w:rPr>
          <w:lang w:val="en-GB"/>
        </w:rPr>
        <w:t xml:space="preserve">To the extent relevant, the </w:t>
      </w:r>
      <w:r>
        <w:rPr>
          <w:lang w:val="en-GB"/>
        </w:rPr>
        <w:t>Processor</w:t>
      </w:r>
      <w:r w:rsidRPr="0082529E">
        <w:rPr>
          <w:lang w:val="en-GB"/>
        </w:rPr>
        <w:t xml:space="preserve"> will assist the </w:t>
      </w:r>
      <w:r>
        <w:rPr>
          <w:lang w:val="en-GB"/>
        </w:rPr>
        <w:t>C</w:t>
      </w:r>
      <w:r w:rsidRPr="0082529E">
        <w:rPr>
          <w:lang w:val="en-GB"/>
        </w:rPr>
        <w:t xml:space="preserve">ontroller in maintaining the </w:t>
      </w:r>
      <w:r>
        <w:rPr>
          <w:lang w:val="en-GB"/>
        </w:rPr>
        <w:t>data</w:t>
      </w:r>
      <w:r w:rsidRPr="0082529E">
        <w:rPr>
          <w:lang w:val="en-GB"/>
        </w:rPr>
        <w:t xml:space="preserve"> subjects</w:t>
      </w:r>
      <w:r w:rsidR="00301CAA">
        <w:rPr>
          <w:lang w:val="en-GB"/>
        </w:rPr>
        <w:t>’</w:t>
      </w:r>
      <w:r w:rsidRPr="0082529E">
        <w:rPr>
          <w:lang w:val="en-GB"/>
        </w:rPr>
        <w:t xml:space="preserve"> right to data portability and the right to object to automated decision-making, including profiling.</w:t>
      </w:r>
    </w:p>
    <w:p w14:paraId="49CA48EE" w14:textId="77777777" w:rsidR="00284714" w:rsidRPr="00FB70B2" w:rsidRDefault="00284714">
      <w:pPr>
        <w:spacing w:before="120"/>
        <w:rPr>
          <w:lang w:val="en-GB"/>
        </w:rPr>
      </w:pPr>
    </w:p>
    <w:p w14:paraId="692B6967" w14:textId="0E51AD55" w:rsidR="00E00B4E" w:rsidRPr="0082529E" w:rsidRDefault="00FC2580" w:rsidP="00E00B4E">
      <w:pPr>
        <w:pStyle w:val="Overskrift2"/>
        <w:rPr>
          <w:lang w:val="en-GB"/>
        </w:rPr>
      </w:pPr>
      <w:r w:rsidRPr="0082529E">
        <w:rPr>
          <w:lang w:val="en-GB"/>
        </w:rPr>
        <w:t>8</w:t>
      </w:r>
      <w:r w:rsidR="00E00B4E" w:rsidRPr="0082529E">
        <w:rPr>
          <w:lang w:val="en-GB"/>
        </w:rPr>
        <w:t xml:space="preserve">. </w:t>
      </w:r>
      <w:r w:rsidR="0082529E" w:rsidRPr="0082529E">
        <w:rPr>
          <w:lang w:val="en-GB"/>
        </w:rPr>
        <w:t>Notification of data breach</w:t>
      </w:r>
    </w:p>
    <w:p w14:paraId="79257403" w14:textId="012EDDEC" w:rsidR="0082529E" w:rsidRPr="0082529E" w:rsidRDefault="0082529E" w:rsidP="00E00B4E">
      <w:pPr>
        <w:spacing w:before="120"/>
        <w:rPr>
          <w:lang w:val="en-GB"/>
        </w:rPr>
      </w:pPr>
      <w:r w:rsidRPr="0082529E">
        <w:rPr>
          <w:lang w:val="en-GB"/>
        </w:rPr>
        <w:t>The Processor shall assist t</w:t>
      </w:r>
      <w:r>
        <w:rPr>
          <w:lang w:val="en-GB"/>
        </w:rPr>
        <w:t xml:space="preserve">he Controller in </w:t>
      </w:r>
      <w:r w:rsidRPr="0082529E">
        <w:rPr>
          <w:lang w:val="en-GB"/>
        </w:rPr>
        <w:t xml:space="preserve">ensuring compliance with </w:t>
      </w:r>
      <w:r>
        <w:rPr>
          <w:lang w:val="en-GB"/>
        </w:rPr>
        <w:t>its</w:t>
      </w:r>
      <w:r w:rsidRPr="0082529E">
        <w:rPr>
          <w:lang w:val="en-GB"/>
        </w:rPr>
        <w:t xml:space="preserve"> </w:t>
      </w:r>
      <w:r>
        <w:rPr>
          <w:lang w:val="en-GB"/>
        </w:rPr>
        <w:t xml:space="preserve">notification </w:t>
      </w:r>
      <w:r w:rsidRPr="0082529E">
        <w:rPr>
          <w:lang w:val="en-GB"/>
        </w:rPr>
        <w:t>obligations pursuant</w:t>
      </w:r>
      <w:r>
        <w:rPr>
          <w:lang w:val="en-GB"/>
        </w:rPr>
        <w:t xml:space="preserve"> to </w:t>
      </w:r>
      <w:r w:rsidR="00301CAA">
        <w:rPr>
          <w:lang w:val="en-GB"/>
        </w:rPr>
        <w:t xml:space="preserve">the </w:t>
      </w:r>
      <w:r>
        <w:rPr>
          <w:lang w:val="en-GB"/>
        </w:rPr>
        <w:t>GDPR articles 33 and 34.</w:t>
      </w:r>
    </w:p>
    <w:p w14:paraId="28D35E6C" w14:textId="538134A1" w:rsidR="0082529E" w:rsidRDefault="0082529E" w:rsidP="00E00B4E">
      <w:pPr>
        <w:spacing w:before="120"/>
        <w:rPr>
          <w:lang w:val="en-GB"/>
        </w:rPr>
      </w:pPr>
      <w:r w:rsidRPr="0082529E">
        <w:rPr>
          <w:lang w:val="en-GB"/>
        </w:rPr>
        <w:t>If personal data processed o</w:t>
      </w:r>
      <w:r>
        <w:rPr>
          <w:lang w:val="en-GB"/>
        </w:rPr>
        <w:t xml:space="preserve">n behalf of the Controller is exposed to a security breach which </w:t>
      </w:r>
      <w:r w:rsidRPr="0082529E">
        <w:rPr>
          <w:lang w:val="en-GB"/>
        </w:rPr>
        <w:t>result</w:t>
      </w:r>
      <w:r>
        <w:rPr>
          <w:lang w:val="en-GB"/>
        </w:rPr>
        <w:t>s</w:t>
      </w:r>
      <w:r w:rsidRPr="0082529E">
        <w:rPr>
          <w:lang w:val="en-GB"/>
        </w:rPr>
        <w:t xml:space="preserve"> in a risk to the rights and freedoms of </w:t>
      </w:r>
      <w:r>
        <w:rPr>
          <w:lang w:val="en-GB"/>
        </w:rPr>
        <w:t xml:space="preserve">the data subjects, the Processor shall notify the Controller without undue delay </w:t>
      </w:r>
      <w:r w:rsidR="008C637E">
        <w:rPr>
          <w:lang w:val="en-GB"/>
        </w:rPr>
        <w:t xml:space="preserve">and </w:t>
      </w:r>
      <w:r w:rsidR="009520BF">
        <w:rPr>
          <w:lang w:val="en-GB"/>
        </w:rPr>
        <w:t xml:space="preserve">within 36 hours at the latest </w:t>
      </w:r>
      <w:r>
        <w:rPr>
          <w:lang w:val="en-GB"/>
        </w:rPr>
        <w:t xml:space="preserve">by sending an e-mail to </w:t>
      </w:r>
      <w:hyperlink r:id="rId13" w:history="1">
        <w:r w:rsidRPr="00BC3947">
          <w:rPr>
            <w:rStyle w:val="Hyperkobling"/>
            <w:lang w:val="en-GB"/>
          </w:rPr>
          <w:t>sikkerhet@oslomet.no</w:t>
        </w:r>
      </w:hyperlink>
      <w:r>
        <w:rPr>
          <w:lang w:val="en-GB"/>
        </w:rPr>
        <w:t xml:space="preserve">. </w:t>
      </w:r>
    </w:p>
    <w:p w14:paraId="2B072D3E" w14:textId="1F8C962D" w:rsidR="0082529E" w:rsidRPr="0082529E" w:rsidRDefault="0082529E" w:rsidP="00E00B4E">
      <w:pPr>
        <w:spacing w:before="120"/>
        <w:rPr>
          <w:lang w:val="en-GB"/>
        </w:rPr>
      </w:pPr>
      <w:r w:rsidRPr="0082529E">
        <w:rPr>
          <w:lang w:val="en-GB"/>
        </w:rPr>
        <w:lastRenderedPageBreak/>
        <w:t xml:space="preserve">The notification </w:t>
      </w:r>
      <w:r>
        <w:rPr>
          <w:lang w:val="en-GB"/>
        </w:rPr>
        <w:t xml:space="preserve">to the Controller </w:t>
      </w:r>
      <w:r w:rsidRPr="0082529E">
        <w:rPr>
          <w:lang w:val="en-GB"/>
        </w:rPr>
        <w:t xml:space="preserve">should, at minimum, include information that describes the security breach, which </w:t>
      </w:r>
      <w:r>
        <w:rPr>
          <w:lang w:val="en-GB"/>
        </w:rPr>
        <w:t>data subjects are</w:t>
      </w:r>
      <w:r w:rsidRPr="0082529E">
        <w:rPr>
          <w:lang w:val="en-GB"/>
        </w:rPr>
        <w:t xml:space="preserve"> affected by the breach, what personal data is affected by the breach, what immediate measures are implemented to address the breach</w:t>
      </w:r>
      <w:r>
        <w:rPr>
          <w:lang w:val="en-GB"/>
        </w:rPr>
        <w:t>,</w:t>
      </w:r>
      <w:r w:rsidRPr="0082529E">
        <w:rPr>
          <w:lang w:val="en-GB"/>
        </w:rPr>
        <w:t xml:space="preserve"> and what preventive measures have been established to avoid similar incidents in the future.</w:t>
      </w:r>
    </w:p>
    <w:p w14:paraId="0537BEFF" w14:textId="257A534B" w:rsidR="00E00B4E" w:rsidRPr="0082529E" w:rsidRDefault="0082529E" w:rsidP="00E00B4E">
      <w:pPr>
        <w:spacing w:before="120"/>
        <w:rPr>
          <w:lang w:val="en-GB"/>
        </w:rPr>
      </w:pPr>
      <w:r>
        <w:rPr>
          <w:lang w:val="en-GB"/>
        </w:rPr>
        <w:t>The Controller is responsible for ensuring that the Processor’s notifications of security breach</w:t>
      </w:r>
      <w:r w:rsidR="004848F8">
        <w:rPr>
          <w:lang w:val="en-GB"/>
        </w:rPr>
        <w:t xml:space="preserve"> </w:t>
      </w:r>
      <w:r w:rsidR="00301CAA">
        <w:rPr>
          <w:lang w:val="en-GB"/>
        </w:rPr>
        <w:t>are</w:t>
      </w:r>
      <w:r w:rsidR="004848F8">
        <w:rPr>
          <w:lang w:val="en-GB"/>
        </w:rPr>
        <w:t xml:space="preserve"> submitted to the Data Protection Authority and for notifying the data subjects if the Controller considers </w:t>
      </w:r>
      <w:r w:rsidR="00301CAA">
        <w:rPr>
          <w:lang w:val="en-GB"/>
        </w:rPr>
        <w:t>the security breach</w:t>
      </w:r>
      <w:r w:rsidR="004848F8">
        <w:rPr>
          <w:lang w:val="en-GB"/>
        </w:rPr>
        <w:t xml:space="preserve"> to </w:t>
      </w:r>
      <w:r w:rsidR="004848F8" w:rsidRPr="004848F8">
        <w:rPr>
          <w:lang w:val="en-GB"/>
        </w:rPr>
        <w:t xml:space="preserve">result in a high risk to the rights and freedoms of </w:t>
      </w:r>
      <w:r w:rsidR="004848F8">
        <w:rPr>
          <w:lang w:val="en-GB"/>
        </w:rPr>
        <w:t>the data subjects.</w:t>
      </w:r>
    </w:p>
    <w:p w14:paraId="17BABF00" w14:textId="77777777" w:rsidR="00E00B4E" w:rsidRPr="00FB70B2" w:rsidRDefault="00E00B4E" w:rsidP="00E00B4E">
      <w:pPr>
        <w:spacing w:before="120"/>
        <w:rPr>
          <w:lang w:val="en-GB"/>
        </w:rPr>
      </w:pPr>
    </w:p>
    <w:p w14:paraId="2B75D0D3" w14:textId="1CDF7AF7" w:rsidR="00E00B4E" w:rsidRPr="004848F8" w:rsidRDefault="00FC2580" w:rsidP="00E00B4E">
      <w:pPr>
        <w:pStyle w:val="Overskrift2"/>
        <w:rPr>
          <w:lang w:val="en-GB"/>
        </w:rPr>
      </w:pPr>
      <w:r w:rsidRPr="004848F8">
        <w:rPr>
          <w:lang w:val="en-GB"/>
        </w:rPr>
        <w:t>9</w:t>
      </w:r>
      <w:r w:rsidR="00E00B4E" w:rsidRPr="004848F8">
        <w:rPr>
          <w:lang w:val="en-GB"/>
        </w:rPr>
        <w:t xml:space="preserve">. </w:t>
      </w:r>
      <w:r w:rsidR="004848F8" w:rsidRPr="004848F8">
        <w:rPr>
          <w:lang w:val="en-GB"/>
        </w:rPr>
        <w:t>Impact assessments</w:t>
      </w:r>
    </w:p>
    <w:p w14:paraId="0D1059D5" w14:textId="457F04CE" w:rsidR="004848F8" w:rsidRPr="004848F8" w:rsidRDefault="004848F8" w:rsidP="00E00B4E">
      <w:pPr>
        <w:spacing w:before="120"/>
        <w:rPr>
          <w:lang w:val="en-GB"/>
        </w:rPr>
      </w:pPr>
      <w:r w:rsidRPr="004848F8">
        <w:rPr>
          <w:lang w:val="en-GB"/>
        </w:rPr>
        <w:t>The Processor s</w:t>
      </w:r>
      <w:r>
        <w:rPr>
          <w:lang w:val="en-GB"/>
        </w:rPr>
        <w:t xml:space="preserve">hall assist the Controller </w:t>
      </w:r>
      <w:r w:rsidRPr="004848F8">
        <w:rPr>
          <w:lang w:val="en-GB"/>
        </w:rPr>
        <w:t>in ensuring compliance with the</w:t>
      </w:r>
      <w:r>
        <w:rPr>
          <w:lang w:val="en-GB"/>
        </w:rPr>
        <w:t>ir</w:t>
      </w:r>
      <w:r w:rsidRPr="004848F8">
        <w:rPr>
          <w:lang w:val="en-GB"/>
        </w:rPr>
        <w:t xml:space="preserve"> obligations pursuant to </w:t>
      </w:r>
      <w:r>
        <w:rPr>
          <w:lang w:val="en-GB"/>
        </w:rPr>
        <w:t xml:space="preserve">GDPR articles 35 and 36. </w:t>
      </w:r>
      <w:r w:rsidRPr="004848F8">
        <w:rPr>
          <w:lang w:val="en-GB"/>
        </w:rPr>
        <w:t xml:space="preserve">If the Controller considers it necessary to </w:t>
      </w:r>
      <w:r>
        <w:rPr>
          <w:lang w:val="en-GB"/>
        </w:rPr>
        <w:t>c</w:t>
      </w:r>
      <w:r w:rsidRPr="004848F8">
        <w:rPr>
          <w:lang w:val="en-GB"/>
        </w:rPr>
        <w:t xml:space="preserve">arry out </w:t>
      </w:r>
      <w:r w:rsidR="00301CAA">
        <w:rPr>
          <w:lang w:val="en-GB"/>
        </w:rPr>
        <w:t xml:space="preserve">a </w:t>
      </w:r>
      <w:r>
        <w:rPr>
          <w:lang w:val="en-GB"/>
        </w:rPr>
        <w:t>data protection impact assessment in accordance with GDPR article 35, the Processor shall assist the Controller with this assessment and the implementation of measures to ensure protection of personal data if the assessment show</w:t>
      </w:r>
      <w:r w:rsidR="00301CAA">
        <w:rPr>
          <w:lang w:val="en-GB"/>
        </w:rPr>
        <w:t>s</w:t>
      </w:r>
      <w:r>
        <w:rPr>
          <w:lang w:val="en-GB"/>
        </w:rPr>
        <w:t xml:space="preserve"> that such measures are required</w:t>
      </w:r>
      <w:r w:rsidRPr="004848F8">
        <w:rPr>
          <w:lang w:val="en-GB"/>
        </w:rPr>
        <w:t>.</w:t>
      </w:r>
      <w:r>
        <w:rPr>
          <w:lang w:val="en-GB"/>
        </w:rPr>
        <w:t xml:space="preserve"> </w:t>
      </w:r>
      <w:r w:rsidRPr="004848F8">
        <w:rPr>
          <w:lang w:val="en-GB"/>
        </w:rPr>
        <w:t xml:space="preserve">If the data protection impact assessment indicates that </w:t>
      </w:r>
      <w:r>
        <w:rPr>
          <w:lang w:val="en-GB"/>
        </w:rPr>
        <w:t xml:space="preserve">prior </w:t>
      </w:r>
      <w:r w:rsidRPr="004848F8">
        <w:rPr>
          <w:lang w:val="en-GB"/>
        </w:rPr>
        <w:t>consultations w</w:t>
      </w:r>
      <w:r>
        <w:rPr>
          <w:lang w:val="en-GB"/>
        </w:rPr>
        <w:t xml:space="preserve">ith the Data Protection Authority are necessary in accordance with </w:t>
      </w:r>
      <w:r w:rsidR="00301CAA">
        <w:rPr>
          <w:lang w:val="en-GB"/>
        </w:rPr>
        <w:t xml:space="preserve">the </w:t>
      </w:r>
      <w:r>
        <w:rPr>
          <w:lang w:val="en-GB"/>
        </w:rPr>
        <w:t>GDPR article 36, the Processor shall assist the Controller with these consultations.</w:t>
      </w:r>
    </w:p>
    <w:p w14:paraId="5D756376" w14:textId="77777777" w:rsidR="00E00B4E" w:rsidRPr="00FB70B2" w:rsidRDefault="00E00B4E" w:rsidP="00E00B4E">
      <w:pPr>
        <w:spacing w:before="120"/>
        <w:rPr>
          <w:lang w:val="en-GB"/>
        </w:rPr>
      </w:pPr>
    </w:p>
    <w:p w14:paraId="24563ECC" w14:textId="39859B31" w:rsidR="00A056C0" w:rsidRPr="00FB70B2" w:rsidRDefault="00FC2580" w:rsidP="005E01B5">
      <w:pPr>
        <w:pStyle w:val="Overskrift2"/>
        <w:rPr>
          <w:lang w:val="en-GB"/>
        </w:rPr>
      </w:pPr>
      <w:r w:rsidRPr="00FB70B2">
        <w:rPr>
          <w:lang w:val="en-GB"/>
        </w:rPr>
        <w:t>10</w:t>
      </w:r>
      <w:r w:rsidR="00A056C0" w:rsidRPr="00FB70B2">
        <w:rPr>
          <w:lang w:val="en-GB"/>
        </w:rPr>
        <w:t xml:space="preserve">. </w:t>
      </w:r>
      <w:r w:rsidR="007C073C" w:rsidRPr="00FB70B2">
        <w:rPr>
          <w:lang w:val="en-GB"/>
        </w:rPr>
        <w:t>I</w:t>
      </w:r>
      <w:r w:rsidR="003C193E" w:rsidRPr="00FB70B2">
        <w:rPr>
          <w:lang w:val="en-GB"/>
        </w:rPr>
        <w:t>nforma</w:t>
      </w:r>
      <w:r w:rsidR="00FB70B2" w:rsidRPr="00FB70B2">
        <w:rPr>
          <w:lang w:val="en-GB"/>
        </w:rPr>
        <w:t>tion and audits</w:t>
      </w:r>
    </w:p>
    <w:p w14:paraId="5FDB0A7F" w14:textId="28B38970" w:rsidR="00FB70B2" w:rsidRPr="00FB70B2" w:rsidRDefault="00FB70B2" w:rsidP="002D271A">
      <w:pPr>
        <w:spacing w:before="120"/>
        <w:rPr>
          <w:lang w:val="en-GB"/>
        </w:rPr>
      </w:pPr>
      <w:bookmarkStart w:id="7" w:name="_Hlk153201203"/>
      <w:r w:rsidRPr="00FB70B2">
        <w:rPr>
          <w:lang w:val="en-GB"/>
        </w:rPr>
        <w:t>The P</w:t>
      </w:r>
      <w:r>
        <w:rPr>
          <w:lang w:val="en-GB"/>
        </w:rPr>
        <w:t>rocessor shall, upon request, give the Controller access to all information and documentation necessary to demonstrate compliance with the terms set out in th</w:t>
      </w:r>
      <w:r w:rsidR="00301CAA">
        <w:rPr>
          <w:lang w:val="en-GB"/>
        </w:rPr>
        <w:t>is</w:t>
      </w:r>
      <w:r>
        <w:rPr>
          <w:lang w:val="en-GB"/>
        </w:rPr>
        <w:t xml:space="preserve"> Data Processing Agreement. </w:t>
      </w:r>
    </w:p>
    <w:p w14:paraId="243FF627" w14:textId="1CE4EFA8" w:rsidR="00FB70B2" w:rsidRPr="00FB70B2" w:rsidRDefault="00FB70B2" w:rsidP="002D271A">
      <w:pPr>
        <w:spacing w:before="120"/>
        <w:rPr>
          <w:lang w:val="en-GB"/>
        </w:rPr>
      </w:pPr>
      <w:r w:rsidRPr="00FB70B2">
        <w:rPr>
          <w:lang w:val="en-GB"/>
        </w:rPr>
        <w:t>This information and documentation i</w:t>
      </w:r>
      <w:r>
        <w:rPr>
          <w:lang w:val="en-GB"/>
        </w:rPr>
        <w:t>nclude, but is not limited to, documentation</w:t>
      </w:r>
      <w:r w:rsidR="003D521B">
        <w:rPr>
          <w:lang w:val="en-GB"/>
        </w:rPr>
        <w:t xml:space="preserve"> of security measures mentioned in section 6</w:t>
      </w:r>
      <w:r>
        <w:rPr>
          <w:lang w:val="en-GB"/>
        </w:rPr>
        <w:t xml:space="preserve"> (</w:t>
      </w:r>
      <w:r w:rsidR="003D521B">
        <w:rPr>
          <w:lang w:val="en-GB"/>
        </w:rPr>
        <w:t xml:space="preserve">risk assessments and established security measures,  </w:t>
      </w:r>
      <w:r w:rsidR="003D521B" w:rsidRPr="003D521B">
        <w:rPr>
          <w:lang w:val="en-GB"/>
        </w:rPr>
        <w:t>continuity- and contingency plans for handling of serious security incidents</w:t>
      </w:r>
      <w:r w:rsidR="003D521B">
        <w:rPr>
          <w:lang w:val="en-GB"/>
        </w:rPr>
        <w:t>, routines for information and training of employees,</w:t>
      </w:r>
      <w:r w:rsidR="003D521B" w:rsidRPr="003D521B">
        <w:rPr>
          <w:lang w:val="en-GB"/>
        </w:rPr>
        <w:t xml:space="preserve"> </w:t>
      </w:r>
      <w:r w:rsidR="003D521B">
        <w:rPr>
          <w:lang w:val="en-GB"/>
        </w:rPr>
        <w:t xml:space="preserve">reports from own security audits </w:t>
      </w:r>
      <w:r>
        <w:rPr>
          <w:lang w:val="en-GB"/>
        </w:rPr>
        <w:t>security organisation</w:t>
      </w:r>
      <w:r w:rsidR="003D521B">
        <w:rPr>
          <w:lang w:val="en-GB"/>
        </w:rPr>
        <w:t>, etc.</w:t>
      </w:r>
      <w:r>
        <w:rPr>
          <w:lang w:val="en-GB"/>
        </w:rPr>
        <w:t>), access documentation (guidelines and routines for access</w:t>
      </w:r>
      <w:r w:rsidR="00301CAA">
        <w:rPr>
          <w:lang w:val="en-GB"/>
        </w:rPr>
        <w:t xml:space="preserve"> control</w:t>
      </w:r>
      <w:r>
        <w:rPr>
          <w:lang w:val="en-GB"/>
        </w:rPr>
        <w:t xml:space="preserve">), data processing agreements with sub-processors, legal basis for transfers to third countries, and other documentation necessary for the Controller to meet its obligations under the GDPR and other applicable privacy </w:t>
      </w:r>
      <w:r w:rsidR="00301CAA">
        <w:rPr>
          <w:lang w:val="en-GB"/>
        </w:rPr>
        <w:t>legislation</w:t>
      </w:r>
      <w:r>
        <w:rPr>
          <w:lang w:val="en-GB"/>
        </w:rPr>
        <w:t>.</w:t>
      </w:r>
    </w:p>
    <w:bookmarkEnd w:id="7"/>
    <w:p w14:paraId="201AE82E" w14:textId="34FD6B11" w:rsidR="00FB70B2" w:rsidRPr="00FB70B2" w:rsidRDefault="00FB70B2">
      <w:pPr>
        <w:spacing w:before="120"/>
        <w:rPr>
          <w:lang w:val="en-GB"/>
        </w:rPr>
      </w:pPr>
      <w:r w:rsidRPr="00FB70B2">
        <w:rPr>
          <w:lang w:val="en-GB"/>
        </w:rPr>
        <w:t>The employees of the C</w:t>
      </w:r>
      <w:r>
        <w:rPr>
          <w:lang w:val="en-GB"/>
        </w:rPr>
        <w:t xml:space="preserve">ontroller are subject to a duty of confidentiality in respect of confidential security documentation which the Processor makes available to the Controller. </w:t>
      </w:r>
    </w:p>
    <w:p w14:paraId="06272C39" w14:textId="7E824CFD" w:rsidR="00FB70B2" w:rsidRPr="00457C80" w:rsidRDefault="00457C80">
      <w:pPr>
        <w:spacing w:before="120"/>
        <w:rPr>
          <w:lang w:val="en-GB"/>
        </w:rPr>
      </w:pPr>
      <w:r w:rsidRPr="00457C80">
        <w:rPr>
          <w:lang w:val="en-GB"/>
        </w:rPr>
        <w:t xml:space="preserve">The Processor shall allow for and contribute to audits, including inspections, conducted by the </w:t>
      </w:r>
      <w:r>
        <w:rPr>
          <w:lang w:val="en-GB"/>
        </w:rPr>
        <w:t>C</w:t>
      </w:r>
      <w:r w:rsidRPr="00457C80">
        <w:rPr>
          <w:lang w:val="en-GB"/>
        </w:rPr>
        <w:t xml:space="preserve">ontroller </w:t>
      </w:r>
      <w:r>
        <w:rPr>
          <w:lang w:val="en-GB"/>
        </w:rPr>
        <w:t>a third party on behalf of the Controller. When using a third party, such third party shall make a report to be provided to the Controller, which the Controller can make available to the Data Protection Authority or others who may have a need to know its content</w:t>
      </w:r>
      <w:r w:rsidRPr="00457C80">
        <w:rPr>
          <w:lang w:val="en-GB"/>
        </w:rPr>
        <w:t>.</w:t>
      </w:r>
    </w:p>
    <w:p w14:paraId="6AA68CD8" w14:textId="77777777" w:rsidR="009C7B56" w:rsidRPr="00221D52" w:rsidRDefault="009C7B56">
      <w:pPr>
        <w:spacing w:before="120"/>
        <w:rPr>
          <w:lang w:val="en-GB"/>
        </w:rPr>
      </w:pPr>
    </w:p>
    <w:p w14:paraId="14E501BA" w14:textId="2DE934D2" w:rsidR="005A3848" w:rsidRPr="00457C80" w:rsidRDefault="00A056C0" w:rsidP="005E01B5">
      <w:pPr>
        <w:pStyle w:val="Overskrift2"/>
        <w:rPr>
          <w:lang w:val="en-GB"/>
        </w:rPr>
      </w:pPr>
      <w:bookmarkStart w:id="8" w:name="_Toc231181836"/>
      <w:r w:rsidRPr="00457C80">
        <w:rPr>
          <w:lang w:val="en-GB"/>
        </w:rPr>
        <w:t>1</w:t>
      </w:r>
      <w:r w:rsidR="00FC2580" w:rsidRPr="00457C80">
        <w:rPr>
          <w:lang w:val="en-GB"/>
        </w:rPr>
        <w:t>1</w:t>
      </w:r>
      <w:r w:rsidRPr="00457C80">
        <w:rPr>
          <w:lang w:val="en-GB"/>
        </w:rPr>
        <w:t xml:space="preserve">. </w:t>
      </w:r>
      <w:bookmarkEnd w:id="8"/>
      <w:r w:rsidR="00457C80" w:rsidRPr="00457C80">
        <w:rPr>
          <w:lang w:val="en-GB"/>
        </w:rPr>
        <w:t>Sub-processors</w:t>
      </w:r>
    </w:p>
    <w:p w14:paraId="128799A5" w14:textId="3A6253C4" w:rsidR="00457C80" w:rsidRPr="00457C80" w:rsidRDefault="00457C80" w:rsidP="007B0130">
      <w:pPr>
        <w:spacing w:before="120"/>
        <w:rPr>
          <w:lang w:val="en-GB"/>
        </w:rPr>
      </w:pPr>
      <w:r w:rsidRPr="00457C80">
        <w:rPr>
          <w:lang w:val="en-GB"/>
        </w:rPr>
        <w:t>If the P</w:t>
      </w:r>
      <w:r>
        <w:rPr>
          <w:lang w:val="en-GB"/>
        </w:rPr>
        <w:t xml:space="preserve">rocessor uses sub-processors, the Processor shall ensure that such sub-processors </w:t>
      </w:r>
      <w:r w:rsidRPr="00457C80">
        <w:rPr>
          <w:lang w:val="en-GB"/>
        </w:rPr>
        <w:t>provid</w:t>
      </w:r>
      <w:r>
        <w:rPr>
          <w:lang w:val="en-GB"/>
        </w:rPr>
        <w:t>e</w:t>
      </w:r>
      <w:r w:rsidRPr="00457C80">
        <w:rPr>
          <w:lang w:val="en-GB"/>
        </w:rPr>
        <w:t xml:space="preserve"> sufficient guarantees to implement appropriate technical and organisational measures in such a manner that processing will meet the requirements of </w:t>
      </w:r>
      <w:r>
        <w:rPr>
          <w:lang w:val="en-GB"/>
        </w:rPr>
        <w:t>the GDPR and other applicable privacy l</w:t>
      </w:r>
      <w:r w:rsidR="00301CAA">
        <w:rPr>
          <w:lang w:val="en-GB"/>
        </w:rPr>
        <w:t>egislation</w:t>
      </w:r>
      <w:r>
        <w:rPr>
          <w:lang w:val="en-GB"/>
        </w:rPr>
        <w:t xml:space="preserve">. The Processor </w:t>
      </w:r>
      <w:r w:rsidRPr="00457C80">
        <w:rPr>
          <w:lang w:val="en-GB"/>
        </w:rPr>
        <w:t xml:space="preserve">is </w:t>
      </w:r>
      <w:r>
        <w:rPr>
          <w:lang w:val="en-GB"/>
        </w:rPr>
        <w:t xml:space="preserve">also </w:t>
      </w:r>
      <w:r w:rsidRPr="00457C80">
        <w:rPr>
          <w:lang w:val="en-GB"/>
        </w:rPr>
        <w:t>obliged to enter into separate agreements with sub-processors</w:t>
      </w:r>
      <w:r>
        <w:rPr>
          <w:lang w:val="en-GB"/>
        </w:rPr>
        <w:t>,</w:t>
      </w:r>
      <w:r w:rsidRPr="00457C80">
        <w:rPr>
          <w:lang w:val="en-GB"/>
        </w:rPr>
        <w:t xml:space="preserve"> </w:t>
      </w:r>
      <w:r>
        <w:rPr>
          <w:lang w:val="en-GB"/>
        </w:rPr>
        <w:t>imposing on</w:t>
      </w:r>
      <w:r w:rsidRPr="00457C80">
        <w:rPr>
          <w:lang w:val="en-GB"/>
        </w:rPr>
        <w:t xml:space="preserve"> </w:t>
      </w:r>
      <w:r w:rsidR="00301CAA">
        <w:rPr>
          <w:lang w:val="en-GB"/>
        </w:rPr>
        <w:t>them</w:t>
      </w:r>
      <w:r>
        <w:rPr>
          <w:lang w:val="en-GB"/>
        </w:rPr>
        <w:t xml:space="preserve"> the</w:t>
      </w:r>
      <w:r w:rsidRPr="00457C80">
        <w:rPr>
          <w:lang w:val="en-GB"/>
        </w:rPr>
        <w:t xml:space="preserve"> same data protection obligations as set out in </w:t>
      </w:r>
      <w:r>
        <w:rPr>
          <w:lang w:val="en-GB"/>
        </w:rPr>
        <w:t xml:space="preserve">this </w:t>
      </w:r>
      <w:r>
        <w:rPr>
          <w:lang w:val="en-GB"/>
        </w:rPr>
        <w:lastRenderedPageBreak/>
        <w:t>Data Processing Agreement.</w:t>
      </w:r>
      <w:r w:rsidR="008E5FE7">
        <w:rPr>
          <w:lang w:val="en-GB"/>
        </w:rPr>
        <w:t xml:space="preserve"> The P</w:t>
      </w:r>
      <w:r w:rsidR="008E5FE7" w:rsidRPr="008E5FE7">
        <w:rPr>
          <w:lang w:val="en-GB"/>
        </w:rPr>
        <w:t xml:space="preserve">rocessor </w:t>
      </w:r>
      <w:r w:rsidR="008E5FE7">
        <w:rPr>
          <w:lang w:val="en-GB"/>
        </w:rPr>
        <w:t>shall ensure</w:t>
      </w:r>
      <w:r w:rsidR="008E5FE7" w:rsidRPr="008E5FE7">
        <w:rPr>
          <w:lang w:val="en-GB"/>
        </w:rPr>
        <w:t xml:space="preserve"> that sub-processors comply with the contractual obligations</w:t>
      </w:r>
      <w:r w:rsidR="008E5FE7">
        <w:rPr>
          <w:lang w:val="en-GB"/>
        </w:rPr>
        <w:t xml:space="preserve"> to which the Processor is subject </w:t>
      </w:r>
      <w:r w:rsidR="00301CAA">
        <w:rPr>
          <w:lang w:val="en-GB"/>
        </w:rPr>
        <w:t>under</w:t>
      </w:r>
      <w:r w:rsidR="008E5FE7">
        <w:rPr>
          <w:lang w:val="en-GB"/>
        </w:rPr>
        <w:t xml:space="preserve"> this Data Processing Agreement and other applicable privacy l</w:t>
      </w:r>
      <w:r w:rsidR="00301CAA">
        <w:rPr>
          <w:lang w:val="en-GB"/>
        </w:rPr>
        <w:t>egislation</w:t>
      </w:r>
      <w:r w:rsidR="008E5FE7">
        <w:rPr>
          <w:lang w:val="en-GB"/>
        </w:rPr>
        <w:t>.</w:t>
      </w:r>
    </w:p>
    <w:p w14:paraId="5DC820DB" w14:textId="017767CB" w:rsidR="00893E14" w:rsidRPr="008E5FE7" w:rsidRDefault="008E5FE7">
      <w:pPr>
        <w:spacing w:before="120"/>
        <w:rPr>
          <w:lang w:val="en-GB"/>
        </w:rPr>
      </w:pPr>
      <w:r w:rsidRPr="008E5FE7">
        <w:rPr>
          <w:lang w:val="en-GB"/>
        </w:rPr>
        <w:t>All sub-processors shall b</w:t>
      </w:r>
      <w:r>
        <w:rPr>
          <w:lang w:val="en-GB"/>
        </w:rPr>
        <w:t xml:space="preserve">e approved in writing by the Controller before the sub-processor can process personal data. </w:t>
      </w:r>
      <w:r w:rsidRPr="008E5FE7">
        <w:rPr>
          <w:lang w:val="en-GB"/>
        </w:rPr>
        <w:t>The Controller approves the Processor’s use of the sub-p</w:t>
      </w:r>
      <w:r>
        <w:rPr>
          <w:lang w:val="en-GB"/>
        </w:rPr>
        <w:t xml:space="preserve">rocessors set out in Appendix 1. The Processor cannot contract any other sub-processors than those listed in Appendix 1 without prior written approval from the Controller. </w:t>
      </w:r>
    </w:p>
    <w:p w14:paraId="47288E17" w14:textId="77777777" w:rsidR="0036260D" w:rsidRPr="00221D52" w:rsidRDefault="0036260D">
      <w:pPr>
        <w:spacing w:before="120"/>
        <w:rPr>
          <w:lang w:val="en-GB"/>
        </w:rPr>
      </w:pPr>
    </w:p>
    <w:p w14:paraId="793B6042" w14:textId="56D5D4A2" w:rsidR="0036260D" w:rsidRPr="0096733A" w:rsidRDefault="006E063C" w:rsidP="00AC11B6">
      <w:pPr>
        <w:pStyle w:val="Overskrift2"/>
        <w:rPr>
          <w:lang w:val="en-GB"/>
        </w:rPr>
      </w:pPr>
      <w:r w:rsidRPr="0096733A">
        <w:rPr>
          <w:lang w:val="en-GB"/>
        </w:rPr>
        <w:t>1</w:t>
      </w:r>
      <w:r w:rsidR="00FC2580" w:rsidRPr="0096733A">
        <w:rPr>
          <w:lang w:val="en-GB"/>
        </w:rPr>
        <w:t>2</w:t>
      </w:r>
      <w:r w:rsidR="0036260D" w:rsidRPr="0096733A">
        <w:rPr>
          <w:lang w:val="en-GB"/>
        </w:rPr>
        <w:t xml:space="preserve">. </w:t>
      </w:r>
      <w:r w:rsidR="0096733A" w:rsidRPr="0096733A">
        <w:rPr>
          <w:lang w:val="en-GB"/>
        </w:rPr>
        <w:t xml:space="preserve">Transfers to countries outside the </w:t>
      </w:r>
      <w:r w:rsidR="0096733A">
        <w:rPr>
          <w:lang w:val="en-GB"/>
        </w:rPr>
        <w:t>EU/EEA</w:t>
      </w:r>
    </w:p>
    <w:p w14:paraId="593567B8" w14:textId="224C0FA3" w:rsidR="0096733A" w:rsidRDefault="0096733A" w:rsidP="005E01B5">
      <w:pPr>
        <w:rPr>
          <w:lang w:val="en-GB" w:eastAsia="en-US"/>
        </w:rPr>
      </w:pPr>
      <w:bookmarkStart w:id="9" w:name="_Hlk153199671"/>
      <w:r w:rsidRPr="0096733A">
        <w:rPr>
          <w:lang w:val="en-GB" w:eastAsia="en-US"/>
        </w:rPr>
        <w:t>Transfer of personal data t</w:t>
      </w:r>
      <w:r>
        <w:rPr>
          <w:lang w:val="en-GB" w:eastAsia="en-US"/>
        </w:rPr>
        <w:t xml:space="preserve">o third countries or use of sub-processors in third countries is only allowed upon instructions from the Controller. This also includes remote access from third countries. </w:t>
      </w:r>
      <w:r w:rsidRPr="0096733A">
        <w:rPr>
          <w:lang w:val="en-GB" w:eastAsia="en-US"/>
        </w:rPr>
        <w:t>In the event of such transfer to third countries o</w:t>
      </w:r>
      <w:r>
        <w:rPr>
          <w:lang w:val="en-GB" w:eastAsia="en-US"/>
        </w:rPr>
        <w:t>r use of sub-processors in third countries, the Processor shall ensure that the provisions of the GDPR and other applicable privacy l</w:t>
      </w:r>
      <w:r w:rsidR="00301CAA">
        <w:rPr>
          <w:lang w:val="en-GB" w:eastAsia="en-US"/>
        </w:rPr>
        <w:t>egislation</w:t>
      </w:r>
      <w:r>
        <w:rPr>
          <w:lang w:val="en-GB" w:eastAsia="en-US"/>
        </w:rPr>
        <w:t xml:space="preserve"> are complied with, including that </w:t>
      </w:r>
      <w:r w:rsidR="00301CAA">
        <w:rPr>
          <w:lang w:val="en-GB" w:eastAsia="en-US"/>
        </w:rPr>
        <w:t>the</w:t>
      </w:r>
      <w:r>
        <w:rPr>
          <w:lang w:val="en-GB" w:eastAsia="en-US"/>
        </w:rPr>
        <w:t xml:space="preserve"> transfer only takes place in accordance with the rules set out in the GDPR Chapter V.</w:t>
      </w:r>
    </w:p>
    <w:p w14:paraId="34BF69F6" w14:textId="4EEA6AD0" w:rsidR="0096733A" w:rsidRDefault="0096733A" w:rsidP="005E01B5">
      <w:pPr>
        <w:rPr>
          <w:lang w:val="en-GB" w:eastAsia="en-US"/>
        </w:rPr>
      </w:pPr>
    </w:p>
    <w:p w14:paraId="513A6ECA" w14:textId="5943026E" w:rsidR="00CF6805" w:rsidRPr="0096733A" w:rsidRDefault="0096733A" w:rsidP="0096733A">
      <w:pPr>
        <w:rPr>
          <w:lang w:val="en-GB" w:eastAsia="en-US"/>
        </w:rPr>
      </w:pPr>
      <w:r>
        <w:rPr>
          <w:lang w:val="en-GB" w:eastAsia="en-US"/>
        </w:rPr>
        <w:t xml:space="preserve">An overview of </w:t>
      </w:r>
      <w:r w:rsidR="00301CAA">
        <w:rPr>
          <w:lang w:val="en-GB" w:eastAsia="en-US"/>
        </w:rPr>
        <w:t>the</w:t>
      </w:r>
      <w:r>
        <w:rPr>
          <w:lang w:val="en-GB" w:eastAsia="en-US"/>
        </w:rPr>
        <w:t xml:space="preserve"> third countries </w:t>
      </w:r>
      <w:r w:rsidR="00301CAA">
        <w:rPr>
          <w:lang w:val="en-GB" w:eastAsia="en-US"/>
        </w:rPr>
        <w:t xml:space="preserve">to which </w:t>
      </w:r>
      <w:r>
        <w:rPr>
          <w:lang w:val="en-GB" w:eastAsia="en-US"/>
        </w:rPr>
        <w:t>the personal data processe</w:t>
      </w:r>
      <w:r w:rsidR="00301CAA">
        <w:rPr>
          <w:lang w:val="en-GB" w:eastAsia="en-US"/>
        </w:rPr>
        <w:t>d</w:t>
      </w:r>
      <w:r>
        <w:rPr>
          <w:lang w:val="en-GB" w:eastAsia="en-US"/>
        </w:rPr>
        <w:t xml:space="preserve"> under this Data Processing Agreement will be transferred to and the legal basis for such transfers are set out in Appendix 1.</w:t>
      </w:r>
      <w:r w:rsidR="00CF6805" w:rsidRPr="0096733A">
        <w:rPr>
          <w:lang w:val="en-GB"/>
        </w:rPr>
        <w:t xml:space="preserve"> </w:t>
      </w:r>
      <w:bookmarkEnd w:id="9"/>
    </w:p>
    <w:p w14:paraId="034E8855" w14:textId="77777777" w:rsidR="00226945" w:rsidRPr="0096733A" w:rsidRDefault="00226945" w:rsidP="00226945">
      <w:pPr>
        <w:spacing w:before="120"/>
        <w:rPr>
          <w:lang w:val="en-GB"/>
        </w:rPr>
      </w:pPr>
      <w:bookmarkStart w:id="10" w:name="_Toc231181838"/>
    </w:p>
    <w:p w14:paraId="40E51EFE" w14:textId="34A028CE" w:rsidR="007C064C" w:rsidRPr="006953B0" w:rsidRDefault="007C064C" w:rsidP="005E01B5">
      <w:pPr>
        <w:pStyle w:val="Overskrift2"/>
        <w:rPr>
          <w:lang w:val="en-GB"/>
        </w:rPr>
      </w:pPr>
      <w:bookmarkStart w:id="11" w:name="_Toc231181840"/>
      <w:bookmarkStart w:id="12" w:name="_Toc231181839"/>
      <w:bookmarkEnd w:id="10"/>
      <w:r w:rsidRPr="006953B0">
        <w:rPr>
          <w:lang w:val="en-GB"/>
        </w:rPr>
        <w:t xml:space="preserve">13. </w:t>
      </w:r>
      <w:bookmarkEnd w:id="11"/>
      <w:r w:rsidR="006953B0" w:rsidRPr="006953B0">
        <w:rPr>
          <w:lang w:val="en-GB"/>
        </w:rPr>
        <w:t>Return and erasure</w:t>
      </w:r>
    </w:p>
    <w:p w14:paraId="5B13A763" w14:textId="55ABC209" w:rsidR="006953B0" w:rsidRDefault="006953B0" w:rsidP="007C064C">
      <w:pPr>
        <w:spacing w:before="120"/>
        <w:rPr>
          <w:lang w:val="en-GB" w:bidi="en-GB"/>
        </w:rPr>
      </w:pPr>
      <w:r w:rsidRPr="006953B0">
        <w:rPr>
          <w:lang w:val="en-GB" w:bidi="en-GB"/>
        </w:rPr>
        <w:t xml:space="preserve">Upon termination of this </w:t>
      </w:r>
      <w:r>
        <w:rPr>
          <w:lang w:val="en-GB" w:bidi="en-GB"/>
        </w:rPr>
        <w:t>Data Processing Agreement</w:t>
      </w:r>
      <w:r w:rsidRPr="006953B0">
        <w:rPr>
          <w:lang w:val="en-GB" w:bidi="en-GB"/>
        </w:rPr>
        <w:t xml:space="preserve">, the </w:t>
      </w:r>
      <w:r>
        <w:rPr>
          <w:lang w:val="en-GB" w:bidi="en-GB"/>
        </w:rPr>
        <w:t>Processor</w:t>
      </w:r>
      <w:r w:rsidRPr="006953B0">
        <w:rPr>
          <w:lang w:val="en-GB" w:bidi="en-GB"/>
        </w:rPr>
        <w:t xml:space="preserve"> is obliged to return and erase a</w:t>
      </w:r>
      <w:r>
        <w:rPr>
          <w:lang w:val="en-GB" w:bidi="en-GB"/>
        </w:rPr>
        <w:t>ll</w:t>
      </w:r>
      <w:r w:rsidRPr="006953B0">
        <w:rPr>
          <w:lang w:val="en-GB" w:bidi="en-GB"/>
        </w:rPr>
        <w:t xml:space="preserve"> personal data processed on behalf of the </w:t>
      </w:r>
      <w:r>
        <w:rPr>
          <w:lang w:val="en-GB" w:bidi="en-GB"/>
        </w:rPr>
        <w:t>C</w:t>
      </w:r>
      <w:r w:rsidRPr="006953B0">
        <w:rPr>
          <w:lang w:val="en-GB" w:bidi="en-GB"/>
        </w:rPr>
        <w:t>ontroller</w:t>
      </w:r>
      <w:r>
        <w:rPr>
          <w:lang w:val="en-GB" w:bidi="en-GB"/>
        </w:rPr>
        <w:t xml:space="preserve"> in relation to provision of the services under the Main Agreement</w:t>
      </w:r>
      <w:r w:rsidRPr="006953B0">
        <w:rPr>
          <w:lang w:val="en-GB" w:bidi="en-GB"/>
        </w:rPr>
        <w:t xml:space="preserve">. The </w:t>
      </w:r>
      <w:r>
        <w:rPr>
          <w:lang w:val="en-GB" w:bidi="en-GB"/>
        </w:rPr>
        <w:t>Controller</w:t>
      </w:r>
      <w:r w:rsidRPr="006953B0">
        <w:rPr>
          <w:lang w:val="en-GB" w:bidi="en-GB"/>
        </w:rPr>
        <w:t xml:space="preserve"> determines how the return of the personal data will take place, including the format to be used.</w:t>
      </w:r>
    </w:p>
    <w:p w14:paraId="393FA7F0" w14:textId="4621BD8E" w:rsidR="006953B0" w:rsidRPr="006953B0" w:rsidRDefault="006953B0" w:rsidP="007C064C">
      <w:pPr>
        <w:spacing w:before="120"/>
        <w:rPr>
          <w:lang w:val="en-GB" w:bidi="en-GB"/>
        </w:rPr>
      </w:pPr>
      <w:r w:rsidRPr="006953B0">
        <w:rPr>
          <w:lang w:val="en-GB" w:bidi="en-GB"/>
        </w:rPr>
        <w:t>The Processor shall cease t</w:t>
      </w:r>
      <w:r>
        <w:rPr>
          <w:lang w:val="en-GB" w:bidi="en-GB"/>
        </w:rPr>
        <w:t xml:space="preserve">he processing and erase the personal data from all storage media without undue delay after termination of the Data Processing Agreement, including back-up copies. Upon request from the Controller, the Processor shall provide a written statement that all personal data has been erased in accordance with this Data Processing Agreement. The Processor shall cover all costs related to the return and erasure of personal data under this Data Processing Agreement. </w:t>
      </w:r>
      <w:r w:rsidRPr="006953B0">
        <w:rPr>
          <w:lang w:val="en-GB"/>
        </w:rPr>
        <w:t xml:space="preserve"> </w:t>
      </w:r>
    </w:p>
    <w:p w14:paraId="0D961AAF" w14:textId="77777777" w:rsidR="004E7E48" w:rsidRPr="00221D52" w:rsidRDefault="004E7E48" w:rsidP="007C064C">
      <w:pPr>
        <w:spacing w:before="120"/>
        <w:rPr>
          <w:lang w:val="en-GB"/>
        </w:rPr>
      </w:pPr>
    </w:p>
    <w:p w14:paraId="2C0129C0" w14:textId="21966B17" w:rsidR="00651A32" w:rsidRPr="006953B0" w:rsidRDefault="00651A32" w:rsidP="005E01B5">
      <w:pPr>
        <w:pStyle w:val="Overskrift2"/>
        <w:rPr>
          <w:lang w:val="en-GB"/>
        </w:rPr>
      </w:pPr>
      <w:r w:rsidRPr="006953B0">
        <w:rPr>
          <w:lang w:val="en-GB"/>
        </w:rPr>
        <w:t xml:space="preserve">14. </w:t>
      </w:r>
      <w:r w:rsidR="006953B0" w:rsidRPr="006953B0">
        <w:rPr>
          <w:lang w:val="en-GB"/>
        </w:rPr>
        <w:t>Breach and liability</w:t>
      </w:r>
    </w:p>
    <w:p w14:paraId="1B587ABD" w14:textId="379CA8A3" w:rsidR="006953B0" w:rsidRPr="006953B0" w:rsidRDefault="006953B0" w:rsidP="00651A32">
      <w:pPr>
        <w:spacing w:before="120"/>
        <w:rPr>
          <w:lang w:val="en-GB"/>
        </w:rPr>
      </w:pPr>
      <w:bookmarkStart w:id="13" w:name="_Hlk153201642"/>
      <w:r w:rsidRPr="006953B0">
        <w:rPr>
          <w:lang w:val="en-GB"/>
        </w:rPr>
        <w:t xml:space="preserve">If the Processor </w:t>
      </w:r>
      <w:r>
        <w:rPr>
          <w:lang w:val="en-GB"/>
        </w:rPr>
        <w:t xml:space="preserve">does not fulfil </w:t>
      </w:r>
      <w:r w:rsidRPr="006953B0">
        <w:rPr>
          <w:lang w:val="en-GB"/>
        </w:rPr>
        <w:t>its</w:t>
      </w:r>
      <w:r>
        <w:rPr>
          <w:lang w:val="en-GB"/>
        </w:rPr>
        <w:t xml:space="preserve"> obligations under this Data Processing Agreement or under the GDPR or other applicable privacy </w:t>
      </w:r>
      <w:r w:rsidR="006F4935">
        <w:rPr>
          <w:lang w:val="en-GB"/>
        </w:rPr>
        <w:t>legislation</w:t>
      </w:r>
      <w:r>
        <w:rPr>
          <w:lang w:val="en-GB"/>
        </w:rPr>
        <w:t>, it is considered a breach of this Data Processing Agreement and the Main Agreement. In case of such br</w:t>
      </w:r>
      <w:r w:rsidR="00816B10">
        <w:rPr>
          <w:lang w:val="en-GB"/>
        </w:rPr>
        <w:t xml:space="preserve">each, the Controller may terminate the Main Agreement with immediate effect. The Processor will </w:t>
      </w:r>
      <w:r w:rsidR="006F4935">
        <w:rPr>
          <w:lang w:val="en-GB"/>
        </w:rPr>
        <w:t>still</w:t>
      </w:r>
      <w:r w:rsidR="00816B10">
        <w:rPr>
          <w:lang w:val="en-GB"/>
        </w:rPr>
        <w:t xml:space="preserve"> be obliged to return and erase personal data processed on behalf of the Controller pursuant to the provisions in section 13 above. </w:t>
      </w:r>
    </w:p>
    <w:p w14:paraId="7AE0EABF" w14:textId="25F23994" w:rsidR="00816B10" w:rsidRPr="00816B10" w:rsidRDefault="00816B10" w:rsidP="00917C98">
      <w:pPr>
        <w:spacing w:before="120"/>
        <w:rPr>
          <w:lang w:val="en-GB"/>
        </w:rPr>
      </w:pPr>
      <w:bookmarkStart w:id="14" w:name="_Hlk153201733"/>
      <w:bookmarkEnd w:id="13"/>
      <w:r w:rsidRPr="00816B10">
        <w:rPr>
          <w:lang w:val="en-GB"/>
        </w:rPr>
        <w:t>The Controller can claim c</w:t>
      </w:r>
      <w:r>
        <w:rPr>
          <w:lang w:val="en-GB"/>
        </w:rPr>
        <w:t xml:space="preserve">ompensation for financial loss, including administrative fines and claims for compensation directed at the Controller, suffered as a consequence of the Processor’s breach of its obligations under this Data Processing Agreement or the GDPR or other applicable privacy </w:t>
      </w:r>
      <w:r w:rsidR="006F4935">
        <w:rPr>
          <w:lang w:val="en-GB"/>
        </w:rPr>
        <w:t>legislation</w:t>
      </w:r>
      <w:r>
        <w:rPr>
          <w:lang w:val="en-GB"/>
        </w:rPr>
        <w:t>. To the extent the financial loss is caused by unlawful processing of personal data or insufficient information security on part of a sub-processor</w:t>
      </w:r>
      <w:r w:rsidR="006F4935">
        <w:rPr>
          <w:lang w:val="en-GB"/>
        </w:rPr>
        <w:t>, t</w:t>
      </w:r>
      <w:r>
        <w:rPr>
          <w:lang w:val="en-GB"/>
        </w:rPr>
        <w:t>he Processor shall remain fully liable to the Controller.</w:t>
      </w:r>
    </w:p>
    <w:p w14:paraId="438F371A" w14:textId="77777777" w:rsidR="00816B10" w:rsidRPr="00816B10" w:rsidRDefault="00816B10" w:rsidP="00917C98">
      <w:pPr>
        <w:spacing w:before="120"/>
        <w:rPr>
          <w:lang w:val="en-GB"/>
        </w:rPr>
      </w:pPr>
    </w:p>
    <w:bookmarkEnd w:id="14"/>
    <w:p w14:paraId="6F4B89C2" w14:textId="5A4C83BC" w:rsidR="00917C98" w:rsidRPr="006F4935" w:rsidRDefault="00917C98" w:rsidP="00917C98">
      <w:pPr>
        <w:spacing w:before="120"/>
        <w:rPr>
          <w:lang w:val="en-GB"/>
        </w:rPr>
      </w:pPr>
    </w:p>
    <w:p w14:paraId="0F118D29" w14:textId="67470FA2" w:rsidR="00AC11B6" w:rsidRPr="006F4935" w:rsidRDefault="00AC11B6" w:rsidP="00651A32">
      <w:pPr>
        <w:spacing w:before="120"/>
        <w:rPr>
          <w:lang w:val="en-GB"/>
        </w:rPr>
      </w:pPr>
    </w:p>
    <w:p w14:paraId="7EA21DAB" w14:textId="1F008A08" w:rsidR="005A3848" w:rsidRPr="00816B10" w:rsidRDefault="007C064C" w:rsidP="005E01B5">
      <w:pPr>
        <w:pStyle w:val="Overskrift2"/>
        <w:rPr>
          <w:lang w:val="en-GB"/>
        </w:rPr>
      </w:pPr>
      <w:r w:rsidRPr="00816B10">
        <w:rPr>
          <w:lang w:val="en-GB"/>
        </w:rPr>
        <w:t>1</w:t>
      </w:r>
      <w:r w:rsidR="00651A32" w:rsidRPr="00816B10">
        <w:rPr>
          <w:lang w:val="en-GB"/>
        </w:rPr>
        <w:t>5</w:t>
      </w:r>
      <w:r w:rsidR="00F7557B" w:rsidRPr="00816B10">
        <w:rPr>
          <w:lang w:val="en-GB"/>
        </w:rPr>
        <w:t xml:space="preserve">. </w:t>
      </w:r>
      <w:bookmarkEnd w:id="12"/>
      <w:r w:rsidR="00816B10" w:rsidRPr="00816B10">
        <w:rPr>
          <w:lang w:val="en-GB"/>
        </w:rPr>
        <w:t>Duration of the agreement</w:t>
      </w:r>
    </w:p>
    <w:p w14:paraId="3519CE7E" w14:textId="3FD49089" w:rsidR="00816B10" w:rsidRPr="00816B10" w:rsidRDefault="00816B10" w:rsidP="004E7E48">
      <w:pPr>
        <w:spacing w:before="120"/>
        <w:rPr>
          <w:lang w:val="en-GB"/>
        </w:rPr>
      </w:pPr>
      <w:bookmarkStart w:id="15" w:name="_Hlk153200244"/>
      <w:r w:rsidRPr="00816B10">
        <w:rPr>
          <w:lang w:val="en-GB"/>
        </w:rPr>
        <w:t>Th</w:t>
      </w:r>
      <w:r>
        <w:rPr>
          <w:lang w:val="en-GB"/>
        </w:rPr>
        <w:t xml:space="preserve">is Data Processing Agreement applies for as long as the Main Agreement is in force, or until </w:t>
      </w:r>
      <w:r w:rsidR="004B3C76">
        <w:rPr>
          <w:lang w:val="en-GB"/>
        </w:rPr>
        <w:t>the Processor’s obligation to provide services to under the Main Agreement is terminated for other reasons.</w:t>
      </w:r>
    </w:p>
    <w:bookmarkEnd w:id="15"/>
    <w:p w14:paraId="54039137" w14:textId="77777777" w:rsidR="00AC11B6" w:rsidRPr="00221D52" w:rsidRDefault="00AC11B6">
      <w:pPr>
        <w:spacing w:before="120"/>
        <w:rPr>
          <w:lang w:val="en-GB"/>
        </w:rPr>
      </w:pPr>
    </w:p>
    <w:p w14:paraId="0457AFC8" w14:textId="531C09B3" w:rsidR="005A3848" w:rsidRPr="004B3C76" w:rsidRDefault="007C064C" w:rsidP="005E01B5">
      <w:pPr>
        <w:pStyle w:val="Overskrift2"/>
        <w:rPr>
          <w:lang w:val="en-GB"/>
        </w:rPr>
      </w:pPr>
      <w:bookmarkStart w:id="16" w:name="_Toc231181841"/>
      <w:r w:rsidRPr="004B3C76">
        <w:rPr>
          <w:lang w:val="en-GB"/>
        </w:rPr>
        <w:t>1</w:t>
      </w:r>
      <w:r w:rsidR="00651A32" w:rsidRPr="004B3C76">
        <w:rPr>
          <w:lang w:val="en-GB"/>
        </w:rPr>
        <w:t>6</w:t>
      </w:r>
      <w:r w:rsidR="00F7557B" w:rsidRPr="004B3C76">
        <w:rPr>
          <w:lang w:val="en-GB"/>
        </w:rPr>
        <w:t xml:space="preserve">. </w:t>
      </w:r>
      <w:bookmarkEnd w:id="16"/>
      <w:r w:rsidR="004B3C76" w:rsidRPr="004B3C76">
        <w:rPr>
          <w:lang w:val="en-GB"/>
        </w:rPr>
        <w:t>Contacts</w:t>
      </w:r>
    </w:p>
    <w:p w14:paraId="06ADC47D" w14:textId="4A4D1992" w:rsidR="004B3C76" w:rsidRPr="004B3C76" w:rsidRDefault="004B3C76" w:rsidP="004E7E48">
      <w:pPr>
        <w:spacing w:before="120"/>
        <w:rPr>
          <w:lang w:val="en-GB"/>
        </w:rPr>
      </w:pPr>
      <w:r w:rsidRPr="004B3C76">
        <w:rPr>
          <w:lang w:val="en-GB"/>
        </w:rPr>
        <w:t>The contact persons f</w:t>
      </w:r>
      <w:r>
        <w:rPr>
          <w:lang w:val="en-GB"/>
        </w:rPr>
        <w:t xml:space="preserve">or the Processor and the Controller for questions and communications related to this Data Processing Agreement are set out in Appendix 1. </w:t>
      </w:r>
    </w:p>
    <w:p w14:paraId="08E77149" w14:textId="77777777" w:rsidR="00376136" w:rsidRPr="004B3C76" w:rsidRDefault="00376136" w:rsidP="00376136">
      <w:pPr>
        <w:rPr>
          <w:lang w:val="en-GB"/>
        </w:rPr>
      </w:pPr>
      <w:bookmarkStart w:id="17" w:name="_Toc231181842"/>
    </w:p>
    <w:p w14:paraId="607922BD" w14:textId="4B011378" w:rsidR="005A3848" w:rsidRPr="004B3C76" w:rsidRDefault="00F7557B" w:rsidP="005E01B5">
      <w:pPr>
        <w:pStyle w:val="Overskrift2"/>
        <w:rPr>
          <w:lang w:val="en-GB"/>
        </w:rPr>
      </w:pPr>
      <w:r w:rsidRPr="004B3C76">
        <w:rPr>
          <w:lang w:val="en-GB"/>
        </w:rPr>
        <w:t>1</w:t>
      </w:r>
      <w:r w:rsidR="00651A32" w:rsidRPr="004B3C76">
        <w:rPr>
          <w:lang w:val="en-GB"/>
        </w:rPr>
        <w:t>7</w:t>
      </w:r>
      <w:r w:rsidRPr="004B3C76">
        <w:rPr>
          <w:lang w:val="en-GB"/>
        </w:rPr>
        <w:t xml:space="preserve">. </w:t>
      </w:r>
      <w:r w:rsidR="004B3C76" w:rsidRPr="004B3C76">
        <w:rPr>
          <w:lang w:val="en-GB"/>
        </w:rPr>
        <w:t>Choi</w:t>
      </w:r>
      <w:r w:rsidR="006F4935">
        <w:rPr>
          <w:lang w:val="en-GB"/>
        </w:rPr>
        <w:t>c</w:t>
      </w:r>
      <w:r w:rsidR="004B3C76" w:rsidRPr="004B3C76">
        <w:rPr>
          <w:lang w:val="en-GB"/>
        </w:rPr>
        <w:t xml:space="preserve">e of law, disputes, and legal </w:t>
      </w:r>
      <w:r w:rsidR="004B3C76">
        <w:rPr>
          <w:lang w:val="en-GB"/>
        </w:rPr>
        <w:t>venue</w:t>
      </w:r>
      <w:bookmarkEnd w:id="17"/>
      <w:r w:rsidR="00247299" w:rsidRPr="004B3C76">
        <w:rPr>
          <w:lang w:val="en-GB"/>
        </w:rPr>
        <w:t xml:space="preserve"> </w:t>
      </w:r>
    </w:p>
    <w:p w14:paraId="66D596E4" w14:textId="705CCA63" w:rsidR="004B3C76" w:rsidRPr="004B3C76" w:rsidRDefault="004B3C76" w:rsidP="005E01B5">
      <w:pPr>
        <w:rPr>
          <w:color w:val="000000" w:themeColor="text1"/>
          <w:lang w:val="en-GB"/>
        </w:rPr>
      </w:pPr>
      <w:bookmarkStart w:id="18" w:name="_Hlk153200419"/>
      <w:r>
        <w:rPr>
          <w:color w:val="000000" w:themeColor="text1"/>
          <w:lang w:val="en-GB"/>
        </w:rPr>
        <w:t xml:space="preserve">The parties’ rights and obligations under this Data Processing Agreement are determined in full by Norwegian law. </w:t>
      </w:r>
      <w:r w:rsidRPr="004B3C76">
        <w:rPr>
          <w:color w:val="000000" w:themeColor="text1"/>
          <w:lang w:val="en-GB"/>
        </w:rPr>
        <w:t xml:space="preserve">Any disputes arising out of this Data Processing Agreement shall first be sought to be </w:t>
      </w:r>
      <w:r>
        <w:rPr>
          <w:color w:val="000000" w:themeColor="text1"/>
          <w:lang w:val="en-GB"/>
        </w:rPr>
        <w:t>resolved through negotiations. If the parties do not reach agreement through negotiations, the dispute will be resolved with binding effect by Oslo District Court in Norway. If the Processor is another state university or university college</w:t>
      </w:r>
      <w:r w:rsidR="006F4935">
        <w:rPr>
          <w:color w:val="000000" w:themeColor="text1"/>
          <w:lang w:val="en-GB"/>
        </w:rPr>
        <w:t>, t</w:t>
      </w:r>
      <w:r>
        <w:rPr>
          <w:color w:val="000000" w:themeColor="text1"/>
          <w:lang w:val="en-GB"/>
        </w:rPr>
        <w:t>he dispute will be resolved with binding effect by the Ministry of Education and Research. Either party may require that the dispute be sent to the Ministry.</w:t>
      </w:r>
    </w:p>
    <w:p w14:paraId="47B701F2" w14:textId="77777777" w:rsidR="004B3C76" w:rsidRPr="004B3C76" w:rsidRDefault="004B3C76" w:rsidP="005E01B5">
      <w:pPr>
        <w:rPr>
          <w:color w:val="000000" w:themeColor="text1"/>
          <w:lang w:val="en-GB"/>
        </w:rPr>
      </w:pPr>
    </w:p>
    <w:bookmarkEnd w:id="18"/>
    <w:p w14:paraId="00A9764C" w14:textId="0FAEE89F" w:rsidR="005A3848" w:rsidRPr="00221D52" w:rsidRDefault="00F7557B" w:rsidP="00A070BA">
      <w:pPr>
        <w:spacing w:before="120"/>
        <w:jc w:val="center"/>
        <w:rPr>
          <w:lang w:val="en-GB"/>
        </w:rPr>
      </w:pPr>
      <w:r w:rsidRPr="00221D52">
        <w:rPr>
          <w:lang w:val="en-GB"/>
        </w:rPr>
        <w:t>***</w:t>
      </w:r>
    </w:p>
    <w:p w14:paraId="7D0C42AA" w14:textId="77777777" w:rsidR="00330AD1" w:rsidRPr="00221D52" w:rsidRDefault="00330AD1" w:rsidP="009C671C">
      <w:pPr>
        <w:spacing w:before="120"/>
        <w:rPr>
          <w:lang w:val="en-GB"/>
        </w:rPr>
      </w:pPr>
    </w:p>
    <w:p w14:paraId="002BFE28" w14:textId="19D0900F" w:rsidR="005A3848" w:rsidRPr="004B3C76" w:rsidRDefault="004B3C76">
      <w:pPr>
        <w:spacing w:before="120"/>
        <w:jc w:val="center"/>
        <w:rPr>
          <w:lang w:val="en-GB"/>
        </w:rPr>
      </w:pPr>
      <w:r w:rsidRPr="004B3C76">
        <w:rPr>
          <w:lang w:val="en-GB"/>
        </w:rPr>
        <w:t>This Data Processing Agreement is made in 2 – two cop</w:t>
      </w:r>
      <w:r>
        <w:rPr>
          <w:lang w:val="en-GB"/>
        </w:rPr>
        <w:t>i</w:t>
      </w:r>
      <w:r w:rsidRPr="004B3C76">
        <w:rPr>
          <w:lang w:val="en-GB"/>
        </w:rPr>
        <w:t>es, one for</w:t>
      </w:r>
      <w:r>
        <w:rPr>
          <w:lang w:val="en-GB"/>
        </w:rPr>
        <w:t xml:space="preserve"> </w:t>
      </w:r>
      <w:r w:rsidRPr="004B3C76">
        <w:rPr>
          <w:lang w:val="en-GB"/>
        </w:rPr>
        <w:t>each party.</w:t>
      </w:r>
    </w:p>
    <w:p w14:paraId="32C1EF05" w14:textId="77777777" w:rsidR="005A3848" w:rsidRPr="004B3C76" w:rsidRDefault="005A3848" w:rsidP="00852AC1">
      <w:pPr>
        <w:spacing w:before="120"/>
        <w:rPr>
          <w:lang w:val="en-GB"/>
        </w:rPr>
      </w:pPr>
    </w:p>
    <w:p w14:paraId="738B35B1" w14:textId="5451A1C2" w:rsidR="00852AC1" w:rsidRPr="004B3C76" w:rsidRDefault="00852AC1" w:rsidP="005E01B5">
      <w:pPr>
        <w:spacing w:before="120"/>
        <w:rPr>
          <w:lang w:val="en-GB"/>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296"/>
      </w:tblGrid>
      <w:tr w:rsidR="00852AC1" w14:paraId="50DC01C0" w14:textId="77777777" w:rsidTr="00852AC1">
        <w:tc>
          <w:tcPr>
            <w:tcW w:w="0" w:type="auto"/>
          </w:tcPr>
          <w:p w14:paraId="17D9DEBF" w14:textId="51D7C748" w:rsidR="00852AC1" w:rsidRDefault="004B3C76" w:rsidP="005E01B5">
            <w:pPr>
              <w:spacing w:before="120"/>
            </w:pPr>
            <w:bookmarkStart w:id="19" w:name="_Hlk153200527"/>
            <w:r>
              <w:t>Place and date</w:t>
            </w:r>
            <w:r w:rsidR="00852AC1">
              <w:t xml:space="preserve">: </w:t>
            </w:r>
          </w:p>
        </w:tc>
        <w:tc>
          <w:tcPr>
            <w:tcW w:w="0" w:type="auto"/>
          </w:tcPr>
          <w:p w14:paraId="1C42FC76" w14:textId="044D807E" w:rsidR="00852AC1" w:rsidRDefault="004B3C76" w:rsidP="005E01B5">
            <w:pPr>
              <w:spacing w:before="120"/>
            </w:pPr>
            <w:r>
              <w:t>Place and date</w:t>
            </w:r>
            <w:r w:rsidR="00852AC1">
              <w:t>:</w:t>
            </w:r>
          </w:p>
        </w:tc>
      </w:tr>
      <w:tr w:rsidR="00852AC1" w:rsidRPr="008A6742" w14:paraId="256AC7D6" w14:textId="77777777" w:rsidTr="00852AC1">
        <w:tc>
          <w:tcPr>
            <w:tcW w:w="0" w:type="auto"/>
          </w:tcPr>
          <w:p w14:paraId="0D7E3A10" w14:textId="77777777" w:rsidR="00852AC1" w:rsidRPr="004B3C76" w:rsidRDefault="00852AC1" w:rsidP="00852AC1">
            <w:pPr>
              <w:spacing w:before="120"/>
              <w:rPr>
                <w:lang w:val="en-GB"/>
              </w:rPr>
            </w:pPr>
          </w:p>
          <w:p w14:paraId="501D9054" w14:textId="77777777" w:rsidR="00852AC1" w:rsidRPr="004B3C76" w:rsidRDefault="00852AC1" w:rsidP="00852AC1">
            <w:pPr>
              <w:spacing w:before="120"/>
              <w:rPr>
                <w:lang w:val="en-GB"/>
              </w:rPr>
            </w:pPr>
          </w:p>
          <w:p w14:paraId="60ACB9FF" w14:textId="77777777" w:rsidR="00852AC1" w:rsidRPr="004B3C76" w:rsidRDefault="00852AC1">
            <w:pPr>
              <w:rPr>
                <w:lang w:val="en-GB"/>
              </w:rPr>
            </w:pPr>
            <w:r w:rsidRPr="004B3C76">
              <w:rPr>
                <w:lang w:val="en-GB"/>
              </w:rPr>
              <w:t>__________________________________</w:t>
            </w:r>
          </w:p>
          <w:p w14:paraId="233BF626" w14:textId="1F8EF9E7" w:rsidR="00852AC1" w:rsidRPr="004B3C76" w:rsidRDefault="004B3C76" w:rsidP="005E01B5">
            <w:pPr>
              <w:spacing w:before="120"/>
              <w:rPr>
                <w:lang w:val="en-GB"/>
              </w:rPr>
            </w:pPr>
            <w:r w:rsidRPr="004B3C76">
              <w:rPr>
                <w:lang w:val="en-GB"/>
              </w:rPr>
              <w:t>On behalf of the C</w:t>
            </w:r>
            <w:r>
              <w:rPr>
                <w:lang w:val="en-GB"/>
              </w:rPr>
              <w:t>ontroller</w:t>
            </w:r>
          </w:p>
        </w:tc>
        <w:tc>
          <w:tcPr>
            <w:tcW w:w="0" w:type="auto"/>
          </w:tcPr>
          <w:p w14:paraId="042BCB55" w14:textId="77777777" w:rsidR="00852AC1" w:rsidRPr="004B3C76" w:rsidRDefault="00852AC1" w:rsidP="00852AC1">
            <w:pPr>
              <w:spacing w:before="120"/>
              <w:rPr>
                <w:lang w:val="en-GB"/>
              </w:rPr>
            </w:pPr>
          </w:p>
          <w:p w14:paraId="6B8BC13C" w14:textId="77777777" w:rsidR="00852AC1" w:rsidRPr="004B3C76" w:rsidRDefault="00852AC1" w:rsidP="00852AC1">
            <w:pPr>
              <w:spacing w:before="120"/>
              <w:rPr>
                <w:lang w:val="en-GB"/>
              </w:rPr>
            </w:pPr>
          </w:p>
          <w:p w14:paraId="3EBBCF5F" w14:textId="77777777" w:rsidR="00852AC1" w:rsidRPr="004B3C76" w:rsidRDefault="00852AC1">
            <w:pPr>
              <w:rPr>
                <w:lang w:val="en-GB"/>
              </w:rPr>
            </w:pPr>
            <w:r w:rsidRPr="004B3C76">
              <w:rPr>
                <w:lang w:val="en-GB"/>
              </w:rPr>
              <w:t>__________________________________</w:t>
            </w:r>
          </w:p>
          <w:p w14:paraId="4E5EC9A6" w14:textId="06C7AC5E" w:rsidR="00852AC1" w:rsidRPr="004B3C76" w:rsidRDefault="004B3C76" w:rsidP="005E01B5">
            <w:pPr>
              <w:spacing w:before="120"/>
              <w:rPr>
                <w:lang w:val="en-GB"/>
              </w:rPr>
            </w:pPr>
            <w:r w:rsidRPr="004B3C76">
              <w:rPr>
                <w:lang w:val="en-GB"/>
              </w:rPr>
              <w:t>On behalf of the P</w:t>
            </w:r>
            <w:r>
              <w:rPr>
                <w:lang w:val="en-GB"/>
              </w:rPr>
              <w:t>rocessor</w:t>
            </w:r>
          </w:p>
        </w:tc>
      </w:tr>
      <w:tr w:rsidR="00852AC1" w14:paraId="3CAB36D8" w14:textId="77777777" w:rsidTr="00852AC1">
        <w:tc>
          <w:tcPr>
            <w:tcW w:w="0" w:type="auto"/>
          </w:tcPr>
          <w:p w14:paraId="0C81311D" w14:textId="088BA395" w:rsidR="00852AC1" w:rsidRDefault="00852AC1" w:rsidP="005E01B5">
            <w:pPr>
              <w:spacing w:before="120"/>
            </w:pPr>
            <w:r>
              <w:t>Na</w:t>
            </w:r>
            <w:r w:rsidR="004B3C76">
              <w:t>me</w:t>
            </w:r>
            <w:r>
              <w:t>:</w:t>
            </w:r>
          </w:p>
        </w:tc>
        <w:tc>
          <w:tcPr>
            <w:tcW w:w="0" w:type="auto"/>
          </w:tcPr>
          <w:p w14:paraId="5345ED3E" w14:textId="5224F48D" w:rsidR="00852AC1" w:rsidRDefault="00852AC1" w:rsidP="005E01B5">
            <w:pPr>
              <w:spacing w:before="120"/>
            </w:pPr>
            <w:r>
              <w:t>N</w:t>
            </w:r>
            <w:r w:rsidR="004B3C76">
              <w:t>ame</w:t>
            </w:r>
            <w:r>
              <w:t>:</w:t>
            </w:r>
          </w:p>
        </w:tc>
      </w:tr>
      <w:tr w:rsidR="00852AC1" w14:paraId="1E2DD4C7" w14:textId="77777777" w:rsidTr="00852AC1">
        <w:tc>
          <w:tcPr>
            <w:tcW w:w="0" w:type="auto"/>
          </w:tcPr>
          <w:p w14:paraId="0F63D5B6" w14:textId="7A056189" w:rsidR="00852AC1" w:rsidRDefault="004B3C76" w:rsidP="005E01B5">
            <w:pPr>
              <w:spacing w:before="120"/>
            </w:pPr>
            <w:r>
              <w:t>Position</w:t>
            </w:r>
            <w:r w:rsidR="00852AC1">
              <w:t>:</w:t>
            </w:r>
          </w:p>
        </w:tc>
        <w:tc>
          <w:tcPr>
            <w:tcW w:w="0" w:type="auto"/>
          </w:tcPr>
          <w:p w14:paraId="040A6769" w14:textId="47E52F02" w:rsidR="00852AC1" w:rsidRDefault="004B3C76" w:rsidP="005E01B5">
            <w:pPr>
              <w:spacing w:before="120"/>
            </w:pPr>
            <w:r>
              <w:t>Position</w:t>
            </w:r>
            <w:r w:rsidR="00852AC1">
              <w:t>:</w:t>
            </w:r>
          </w:p>
        </w:tc>
      </w:tr>
      <w:bookmarkEnd w:id="19"/>
    </w:tbl>
    <w:p w14:paraId="17905331" w14:textId="1DE1E45B" w:rsidR="003E2298" w:rsidRDefault="003E2298" w:rsidP="00A070BA">
      <w:pPr>
        <w:spacing w:before="120"/>
        <w:jc w:val="center"/>
      </w:pPr>
    </w:p>
    <w:p w14:paraId="120FC27B" w14:textId="6EBF842C" w:rsidR="003E2298" w:rsidRDefault="003E2298" w:rsidP="00A070BA">
      <w:pPr>
        <w:spacing w:before="120"/>
        <w:jc w:val="center"/>
      </w:pPr>
    </w:p>
    <w:p w14:paraId="443E7F39" w14:textId="25859059" w:rsidR="003E2298" w:rsidRDefault="003E2298" w:rsidP="00A070BA">
      <w:pPr>
        <w:spacing w:before="120"/>
        <w:jc w:val="center"/>
      </w:pPr>
    </w:p>
    <w:p w14:paraId="0FFF6DD1" w14:textId="33B54DEF" w:rsidR="003E2298" w:rsidRDefault="003E2298" w:rsidP="00A070BA">
      <w:pPr>
        <w:spacing w:before="120"/>
        <w:jc w:val="center"/>
      </w:pPr>
    </w:p>
    <w:p w14:paraId="4D7B902E" w14:textId="75B557BC" w:rsidR="003E2298" w:rsidRDefault="003E2298" w:rsidP="00A070BA">
      <w:pPr>
        <w:spacing w:before="120"/>
        <w:jc w:val="center"/>
      </w:pPr>
    </w:p>
    <w:p w14:paraId="48F3BE6F" w14:textId="1ECE4753" w:rsidR="003E2298" w:rsidRDefault="003E2298" w:rsidP="00A070BA">
      <w:pPr>
        <w:spacing w:before="120"/>
        <w:jc w:val="center"/>
      </w:pPr>
    </w:p>
    <w:p w14:paraId="6A92F7C4" w14:textId="4AC2F52F" w:rsidR="003E2298" w:rsidRDefault="004B3C76" w:rsidP="003E2298">
      <w:pPr>
        <w:pStyle w:val="Overskrift2"/>
      </w:pPr>
      <w:r>
        <w:lastRenderedPageBreak/>
        <w:t>Appendix</w:t>
      </w:r>
      <w:r w:rsidR="003E2298">
        <w:t xml:space="preserve"> 1</w:t>
      </w:r>
    </w:p>
    <w:p w14:paraId="43EE01D9" w14:textId="3A563E50" w:rsidR="003E2298" w:rsidRDefault="004B3C76" w:rsidP="003E2298">
      <w:pPr>
        <w:pStyle w:val="Overskrift2"/>
        <w:numPr>
          <w:ilvl w:val="0"/>
          <w:numId w:val="11"/>
        </w:numPr>
      </w:pPr>
      <w:r>
        <w:t>Purposes of the processing</w:t>
      </w:r>
    </w:p>
    <w:p w14:paraId="4C7AC034" w14:textId="0D2F37E1" w:rsidR="003E2298" w:rsidRPr="004B3C76" w:rsidRDefault="003E2298" w:rsidP="003E2298">
      <w:pPr>
        <w:rPr>
          <w:lang w:val="en-GB" w:eastAsia="en-US"/>
        </w:rPr>
      </w:pPr>
      <w:r w:rsidRPr="004B3C76">
        <w:rPr>
          <w:highlight w:val="yellow"/>
          <w:lang w:val="en-GB" w:eastAsia="en-US"/>
        </w:rPr>
        <w:t>[</w:t>
      </w:r>
      <w:r w:rsidR="004B3C76" w:rsidRPr="004B3C76">
        <w:rPr>
          <w:highlight w:val="yellow"/>
          <w:lang w:val="en-GB" w:eastAsia="en-US"/>
        </w:rPr>
        <w:t>Describe the purpose of the proce</w:t>
      </w:r>
      <w:r w:rsidR="004B3C76">
        <w:rPr>
          <w:highlight w:val="yellow"/>
          <w:lang w:val="en-GB" w:eastAsia="en-US"/>
        </w:rPr>
        <w:t>ssing. This will be provision of the services under the Main Agreement. Give a summary of which services the Main Agreement cover.</w:t>
      </w:r>
      <w:r w:rsidRPr="004B3C76">
        <w:rPr>
          <w:highlight w:val="yellow"/>
          <w:lang w:val="en-GB" w:eastAsia="en-US"/>
        </w:rPr>
        <w:t>]</w:t>
      </w:r>
    </w:p>
    <w:p w14:paraId="4D4708A2" w14:textId="69B78C4E" w:rsidR="00936265" w:rsidRPr="004B3C76" w:rsidRDefault="00936265" w:rsidP="003E2298">
      <w:pPr>
        <w:rPr>
          <w:lang w:val="en-GB" w:eastAsia="en-US"/>
        </w:rPr>
      </w:pPr>
    </w:p>
    <w:p w14:paraId="385C3F75" w14:textId="0C3CF9C6" w:rsidR="00E55EB8" w:rsidRDefault="004B3C76" w:rsidP="00936265">
      <w:pPr>
        <w:pStyle w:val="Overskrift2"/>
        <w:numPr>
          <w:ilvl w:val="0"/>
          <w:numId w:val="11"/>
        </w:numPr>
      </w:pPr>
      <w:r>
        <w:t>Processing activities</w:t>
      </w:r>
    </w:p>
    <w:p w14:paraId="4430F47B" w14:textId="2D55E742" w:rsidR="00E55EB8" w:rsidRPr="004B3C76" w:rsidRDefault="00E55EB8" w:rsidP="00E55EB8">
      <w:pPr>
        <w:rPr>
          <w:lang w:val="en-GB" w:eastAsia="en-US"/>
        </w:rPr>
      </w:pPr>
      <w:r w:rsidRPr="004B3C76">
        <w:rPr>
          <w:highlight w:val="yellow"/>
          <w:lang w:val="en-GB" w:eastAsia="en-US"/>
        </w:rPr>
        <w:t>[</w:t>
      </w:r>
      <w:r w:rsidR="004B3C76" w:rsidRPr="004B3C76">
        <w:rPr>
          <w:highlight w:val="yellow"/>
          <w:lang w:val="en-GB" w:eastAsia="en-US"/>
        </w:rPr>
        <w:t>Describe the types of processing activities, for example collection, analysing, testing, archiving, etc</w:t>
      </w:r>
      <w:r w:rsidRPr="004B3C76">
        <w:rPr>
          <w:highlight w:val="yellow"/>
          <w:lang w:val="en-GB" w:eastAsia="en-US"/>
        </w:rPr>
        <w:t>.]</w:t>
      </w:r>
    </w:p>
    <w:p w14:paraId="41422C23" w14:textId="77777777" w:rsidR="00E55EB8" w:rsidRPr="004B3C76" w:rsidRDefault="00E55EB8" w:rsidP="005E01B5">
      <w:pPr>
        <w:rPr>
          <w:lang w:val="en-GB"/>
        </w:rPr>
      </w:pPr>
    </w:p>
    <w:p w14:paraId="418E68F3" w14:textId="7362B900" w:rsidR="00936265" w:rsidRDefault="004B3C76" w:rsidP="00936265">
      <w:pPr>
        <w:pStyle w:val="Overskrift2"/>
        <w:numPr>
          <w:ilvl w:val="0"/>
          <w:numId w:val="11"/>
        </w:numPr>
      </w:pPr>
      <w:r>
        <w:t>Categories of data subjects</w:t>
      </w:r>
    </w:p>
    <w:p w14:paraId="3F499762" w14:textId="3BB23CE9" w:rsidR="00936265" w:rsidRPr="00BC44FD" w:rsidRDefault="00936265" w:rsidP="00936265">
      <w:pPr>
        <w:rPr>
          <w:lang w:val="en-GB" w:eastAsia="en-US"/>
        </w:rPr>
      </w:pPr>
      <w:bookmarkStart w:id="20" w:name="_Hlk153202321"/>
      <w:r w:rsidRPr="00BC44FD">
        <w:rPr>
          <w:highlight w:val="yellow"/>
          <w:lang w:val="en-GB" w:eastAsia="en-US"/>
        </w:rPr>
        <w:t>[</w:t>
      </w:r>
      <w:r w:rsidR="004B3C76" w:rsidRPr="00BC44FD">
        <w:rPr>
          <w:highlight w:val="yellow"/>
          <w:lang w:val="en-GB" w:eastAsia="en-US"/>
        </w:rPr>
        <w:t xml:space="preserve">Describe the categories of data subjects </w:t>
      </w:r>
      <w:r w:rsidR="006F4935">
        <w:rPr>
          <w:highlight w:val="yellow"/>
          <w:lang w:val="en-GB" w:eastAsia="en-US"/>
        </w:rPr>
        <w:t>of</w:t>
      </w:r>
      <w:r w:rsidR="004B3C76" w:rsidRPr="00BC44FD">
        <w:rPr>
          <w:highlight w:val="yellow"/>
          <w:lang w:val="en-GB" w:eastAsia="en-US"/>
        </w:rPr>
        <w:t xml:space="preserve"> whom personal data is processed, such as employees, students, suppliers, etc</w:t>
      </w:r>
      <w:r w:rsidRPr="00BC44FD">
        <w:rPr>
          <w:highlight w:val="yellow"/>
          <w:lang w:val="en-GB" w:eastAsia="en-US"/>
        </w:rPr>
        <w:t>.]</w:t>
      </w:r>
      <w:bookmarkEnd w:id="20"/>
    </w:p>
    <w:p w14:paraId="5051C00B" w14:textId="77777777" w:rsidR="00936265" w:rsidRPr="00BC44FD" w:rsidRDefault="00936265" w:rsidP="005E01B5">
      <w:pPr>
        <w:rPr>
          <w:lang w:val="en-GB"/>
        </w:rPr>
      </w:pPr>
    </w:p>
    <w:p w14:paraId="03700204" w14:textId="7F748909" w:rsidR="00936265" w:rsidRDefault="00936265" w:rsidP="00936265">
      <w:pPr>
        <w:pStyle w:val="Overskrift2"/>
        <w:numPr>
          <w:ilvl w:val="0"/>
          <w:numId w:val="11"/>
        </w:numPr>
      </w:pPr>
      <w:r>
        <w:t>Type</w:t>
      </w:r>
      <w:r w:rsidR="00221D52">
        <w:t>s of personal data</w:t>
      </w:r>
    </w:p>
    <w:p w14:paraId="343C2F45" w14:textId="50DA7D9A" w:rsidR="00936265" w:rsidRDefault="00936265" w:rsidP="00936265">
      <w:pPr>
        <w:rPr>
          <w:lang w:val="en-GB" w:eastAsia="en-US"/>
        </w:rPr>
      </w:pPr>
      <w:bookmarkStart w:id="21" w:name="_Hlk153202333"/>
      <w:r w:rsidRPr="00BC44FD">
        <w:rPr>
          <w:highlight w:val="yellow"/>
          <w:lang w:val="en-GB" w:eastAsia="en-US"/>
        </w:rPr>
        <w:t>[</w:t>
      </w:r>
      <w:r w:rsidR="00BC44FD" w:rsidRPr="00BC44FD">
        <w:rPr>
          <w:highlight w:val="yellow"/>
          <w:lang w:val="en-GB" w:eastAsia="en-US"/>
        </w:rPr>
        <w:t xml:space="preserve">Describe the types of personal data processed in relation to the data subjects, for example name, addresses, phone numbers, e-mails, etc. If relevant, please also indicate whether any special categories of data are processed, such as </w:t>
      </w:r>
      <w:r w:rsidR="00BC44FD">
        <w:rPr>
          <w:highlight w:val="yellow"/>
          <w:lang w:val="en-GB" w:eastAsia="en-US"/>
        </w:rPr>
        <w:t>health data, ethnic origin, political opinions, etc.</w:t>
      </w:r>
      <w:r w:rsidRPr="00BC44FD">
        <w:rPr>
          <w:highlight w:val="yellow"/>
          <w:lang w:val="en-GB" w:eastAsia="en-US"/>
        </w:rPr>
        <w:t>]</w:t>
      </w:r>
    </w:p>
    <w:p w14:paraId="7C7D288D" w14:textId="77777777" w:rsidR="008A6742" w:rsidRDefault="008A6742" w:rsidP="00936265">
      <w:pPr>
        <w:rPr>
          <w:lang w:val="en-GB" w:eastAsia="en-US"/>
        </w:rPr>
      </w:pPr>
    </w:p>
    <w:p w14:paraId="52A9E231" w14:textId="574A91F0" w:rsidR="008A6742" w:rsidRPr="00317EA3" w:rsidRDefault="008A6742" w:rsidP="008A6742">
      <w:pPr>
        <w:pStyle w:val="Listeavsnitt"/>
        <w:numPr>
          <w:ilvl w:val="0"/>
          <w:numId w:val="11"/>
        </w:numPr>
        <w:rPr>
          <w:rFonts w:ascii="Century Gothic" w:hAnsi="Century Gothic"/>
          <w:b/>
          <w:bCs/>
          <w:sz w:val="28"/>
          <w:szCs w:val="28"/>
          <w:lang w:eastAsia="en-US"/>
        </w:rPr>
      </w:pPr>
      <w:r w:rsidRPr="00317EA3">
        <w:rPr>
          <w:rFonts w:ascii="Century Gothic" w:hAnsi="Century Gothic"/>
          <w:b/>
          <w:bCs/>
          <w:sz w:val="28"/>
          <w:szCs w:val="28"/>
          <w:lang w:eastAsia="en-US"/>
        </w:rPr>
        <w:t>Instr</w:t>
      </w:r>
      <w:r w:rsidR="00E7111E">
        <w:rPr>
          <w:rFonts w:ascii="Century Gothic" w:hAnsi="Century Gothic"/>
          <w:b/>
          <w:bCs/>
          <w:sz w:val="28"/>
          <w:szCs w:val="28"/>
          <w:lang w:eastAsia="en-US"/>
        </w:rPr>
        <w:t>uctions</w:t>
      </w:r>
    </w:p>
    <w:p w14:paraId="5A574857" w14:textId="77777777" w:rsidR="008A6742" w:rsidRDefault="008A6742" w:rsidP="008A6742">
      <w:pPr>
        <w:rPr>
          <w:lang w:eastAsia="en-US"/>
        </w:rPr>
      </w:pPr>
    </w:p>
    <w:p w14:paraId="617F29F0" w14:textId="2303A6A4" w:rsidR="008A6742" w:rsidRPr="00490CDE" w:rsidRDefault="008A6742" w:rsidP="008A6742">
      <w:pPr>
        <w:rPr>
          <w:lang w:val="en-US" w:eastAsia="en-US"/>
        </w:rPr>
      </w:pPr>
      <w:r w:rsidRPr="00037274">
        <w:rPr>
          <w:highlight w:val="yellow"/>
          <w:lang w:val="en-US" w:eastAsia="en-US"/>
        </w:rPr>
        <w:t>[</w:t>
      </w:r>
      <w:r w:rsidR="00BD4597" w:rsidRPr="00E96B6C">
        <w:rPr>
          <w:highlight w:val="yellow"/>
          <w:lang w:val="en-US"/>
        </w:rPr>
        <w:t xml:space="preserve">Formulate an instruction for </w:t>
      </w:r>
      <w:r w:rsidR="00523658" w:rsidRPr="00E96B6C">
        <w:rPr>
          <w:highlight w:val="yellow"/>
          <w:lang w:val="en-US"/>
        </w:rPr>
        <w:t xml:space="preserve">the </w:t>
      </w:r>
      <w:r w:rsidR="00BD4597" w:rsidRPr="00E96B6C">
        <w:rPr>
          <w:highlight w:val="yellow"/>
          <w:lang w:val="en-US"/>
        </w:rPr>
        <w:t>data</w:t>
      </w:r>
      <w:r w:rsidR="00523658" w:rsidRPr="00E96B6C">
        <w:rPr>
          <w:highlight w:val="yellow"/>
          <w:lang w:val="en-US"/>
        </w:rPr>
        <w:t>processing</w:t>
      </w:r>
      <w:r w:rsidR="00BD4597" w:rsidRPr="00E96B6C">
        <w:rPr>
          <w:highlight w:val="yellow"/>
          <w:lang w:val="en-US"/>
        </w:rPr>
        <w:t xml:space="preserve"> that states how data is to be collected, sent, shared, analysed, stored, which digital tools are to be used, etc</w:t>
      </w:r>
      <w:r w:rsidR="00BD4597" w:rsidRPr="00E96B6C">
        <w:rPr>
          <w:highlight w:val="yellow"/>
          <w:lang w:val="en-US"/>
        </w:rPr>
        <w:t>.</w:t>
      </w:r>
      <w:r w:rsidRPr="00490CDE">
        <w:rPr>
          <w:highlight w:val="yellow"/>
          <w:lang w:val="en-US" w:eastAsia="en-US"/>
        </w:rPr>
        <w:t>]</w:t>
      </w:r>
    </w:p>
    <w:p w14:paraId="6678D173" w14:textId="77777777" w:rsidR="008A6742" w:rsidRPr="00490CDE" w:rsidRDefault="008A6742" w:rsidP="008A6742">
      <w:pPr>
        <w:rPr>
          <w:lang w:val="en-US" w:eastAsia="en-US"/>
        </w:rPr>
      </w:pPr>
    </w:p>
    <w:p w14:paraId="44080CE2" w14:textId="3BBE7406" w:rsidR="008A6742" w:rsidRDefault="008A6742" w:rsidP="008A6742">
      <w:pPr>
        <w:pStyle w:val="Listeavsnitt"/>
        <w:numPr>
          <w:ilvl w:val="0"/>
          <w:numId w:val="11"/>
        </w:numPr>
        <w:rPr>
          <w:rFonts w:ascii="Century Gothic" w:hAnsi="Century Gothic"/>
          <w:b/>
          <w:bCs/>
          <w:sz w:val="28"/>
          <w:szCs w:val="28"/>
          <w:lang w:eastAsia="en-US"/>
        </w:rPr>
      </w:pPr>
      <w:r>
        <w:rPr>
          <w:rFonts w:ascii="Century Gothic" w:hAnsi="Century Gothic"/>
          <w:b/>
          <w:bCs/>
          <w:sz w:val="28"/>
          <w:szCs w:val="28"/>
          <w:lang w:eastAsia="en-US"/>
        </w:rPr>
        <w:t>Informa</w:t>
      </w:r>
      <w:r w:rsidR="009A207F">
        <w:rPr>
          <w:rFonts w:ascii="Century Gothic" w:hAnsi="Century Gothic"/>
          <w:b/>
          <w:bCs/>
          <w:sz w:val="28"/>
          <w:szCs w:val="28"/>
          <w:lang w:eastAsia="en-US"/>
        </w:rPr>
        <w:t>t</w:t>
      </w:r>
      <w:r w:rsidR="006C5D6C">
        <w:rPr>
          <w:rFonts w:ascii="Century Gothic" w:hAnsi="Century Gothic"/>
          <w:b/>
          <w:bCs/>
          <w:sz w:val="28"/>
          <w:szCs w:val="28"/>
          <w:lang w:eastAsia="en-US"/>
        </w:rPr>
        <w:t>io</w:t>
      </w:r>
      <w:r w:rsidR="009A207F">
        <w:rPr>
          <w:rFonts w:ascii="Century Gothic" w:hAnsi="Century Gothic"/>
          <w:b/>
          <w:bCs/>
          <w:sz w:val="28"/>
          <w:szCs w:val="28"/>
          <w:lang w:eastAsia="en-US"/>
        </w:rPr>
        <w:t>n</w:t>
      </w:r>
      <w:r w:rsidR="006C5D6C">
        <w:rPr>
          <w:rFonts w:ascii="Century Gothic" w:hAnsi="Century Gothic"/>
          <w:b/>
          <w:bCs/>
          <w:sz w:val="28"/>
          <w:szCs w:val="28"/>
          <w:lang w:eastAsia="en-US"/>
        </w:rPr>
        <w:t xml:space="preserve"> security</w:t>
      </w:r>
    </w:p>
    <w:p w14:paraId="03E3075B" w14:textId="77777777" w:rsidR="008A6742" w:rsidRDefault="008A6742" w:rsidP="008A6742">
      <w:pPr>
        <w:pStyle w:val="Listeavsnitt"/>
        <w:ind w:left="360"/>
        <w:rPr>
          <w:rFonts w:ascii="Century Gothic" w:hAnsi="Century Gothic"/>
          <w:b/>
          <w:bCs/>
          <w:sz w:val="28"/>
          <w:szCs w:val="28"/>
          <w:lang w:eastAsia="en-US"/>
        </w:rPr>
      </w:pPr>
    </w:p>
    <w:p w14:paraId="09CA4081" w14:textId="21A01643" w:rsidR="008A6742" w:rsidRPr="006A0EF1" w:rsidRDefault="008A6742" w:rsidP="006A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490CDE">
        <w:rPr>
          <w:highlight w:val="yellow"/>
          <w:lang w:val="en-US" w:eastAsia="en-US"/>
        </w:rPr>
        <w:t>[</w:t>
      </w:r>
      <w:r w:rsidR="00490CDE" w:rsidRPr="00490CDE">
        <w:rPr>
          <w:highlight w:val="yellow"/>
          <w:lang w:val="en"/>
        </w:rPr>
        <w:t>Provide a specification of security measures implemented, stating appropriate technical, physical and organizational saf</w:t>
      </w:r>
      <w:r w:rsidR="00866350">
        <w:rPr>
          <w:highlight w:val="yellow"/>
          <w:lang w:val="en"/>
        </w:rPr>
        <w:t>ety measures</w:t>
      </w:r>
      <w:r w:rsidR="00490CDE" w:rsidRPr="00490CDE">
        <w:rPr>
          <w:highlight w:val="yellow"/>
          <w:lang w:val="en"/>
        </w:rPr>
        <w:t xml:space="preserve"> to achieve a level of security appropriate in relation to the risk, to prevent unauthorized or </w:t>
      </w:r>
      <w:r w:rsidR="0067699F">
        <w:rPr>
          <w:highlight w:val="yellow"/>
          <w:lang w:val="en"/>
        </w:rPr>
        <w:t>unla</w:t>
      </w:r>
      <w:r w:rsidR="006A0EF1">
        <w:rPr>
          <w:highlight w:val="yellow"/>
          <w:lang w:val="en"/>
        </w:rPr>
        <w:t>wful</w:t>
      </w:r>
      <w:r w:rsidR="00490CDE" w:rsidRPr="00490CDE">
        <w:rPr>
          <w:highlight w:val="yellow"/>
          <w:lang w:val="en"/>
        </w:rPr>
        <w:t xml:space="preserve"> access, alteration, </w:t>
      </w:r>
      <w:r w:rsidR="006A0EF1">
        <w:rPr>
          <w:highlight w:val="yellow"/>
          <w:lang w:val="en"/>
        </w:rPr>
        <w:t>erasure</w:t>
      </w:r>
      <w:r w:rsidR="00490CDE" w:rsidRPr="00490CDE">
        <w:rPr>
          <w:highlight w:val="yellow"/>
          <w:lang w:val="en"/>
        </w:rPr>
        <w:t>, damage, loss or unavailability</w:t>
      </w:r>
      <w:r w:rsidRPr="006A0EF1">
        <w:rPr>
          <w:highlight w:val="yellow"/>
          <w:lang w:val="en-US"/>
        </w:rPr>
        <w:t>.</w:t>
      </w:r>
      <w:r w:rsidRPr="006A0EF1">
        <w:rPr>
          <w:highlight w:val="yellow"/>
          <w:lang w:val="en-US" w:eastAsia="en-US"/>
        </w:rPr>
        <w:t>]</w:t>
      </w:r>
    </w:p>
    <w:bookmarkEnd w:id="21"/>
    <w:p w14:paraId="0875AB7B" w14:textId="3F7C6647" w:rsidR="00936265" w:rsidRPr="006A0EF1" w:rsidRDefault="00936265" w:rsidP="00936265">
      <w:pPr>
        <w:rPr>
          <w:lang w:val="en-US" w:eastAsia="en-US"/>
        </w:rPr>
      </w:pPr>
    </w:p>
    <w:p w14:paraId="226C75D4" w14:textId="705E3823" w:rsidR="00936265" w:rsidRPr="00BC44FD" w:rsidRDefault="00BC44FD" w:rsidP="00936265">
      <w:pPr>
        <w:pStyle w:val="Overskrift2"/>
        <w:numPr>
          <w:ilvl w:val="0"/>
          <w:numId w:val="11"/>
        </w:numPr>
        <w:rPr>
          <w:lang w:val="en-GB"/>
        </w:rPr>
      </w:pPr>
      <w:r w:rsidRPr="00BC44FD">
        <w:rPr>
          <w:lang w:val="en-GB"/>
        </w:rPr>
        <w:t xml:space="preserve">Sub-processors </w:t>
      </w:r>
      <w:r w:rsidR="00CF2296">
        <w:rPr>
          <w:lang w:val="en-GB"/>
        </w:rPr>
        <w:t>with</w:t>
      </w:r>
      <w:r w:rsidRPr="00BC44FD">
        <w:rPr>
          <w:lang w:val="en-GB"/>
        </w:rPr>
        <w:t>in the E</w:t>
      </w:r>
      <w:r>
        <w:rPr>
          <w:lang w:val="en-GB"/>
        </w:rPr>
        <w:t>U/EEA</w:t>
      </w:r>
    </w:p>
    <w:tbl>
      <w:tblPr>
        <w:tblStyle w:val="Tabellrutenett"/>
        <w:tblW w:w="0" w:type="auto"/>
        <w:tblLook w:val="04A0" w:firstRow="1" w:lastRow="0" w:firstColumn="1" w:lastColumn="0" w:noHBand="0" w:noVBand="1"/>
      </w:tblPr>
      <w:tblGrid>
        <w:gridCol w:w="1310"/>
        <w:gridCol w:w="2129"/>
      </w:tblGrid>
      <w:tr w:rsidR="00936265" w14:paraId="12C032B2" w14:textId="77777777" w:rsidTr="005E01B5">
        <w:tc>
          <w:tcPr>
            <w:tcW w:w="0" w:type="auto"/>
            <w:shd w:val="clear" w:color="auto" w:fill="D9D9D9" w:themeFill="background1" w:themeFillShade="D9"/>
          </w:tcPr>
          <w:p w14:paraId="083EC6E8" w14:textId="15432521" w:rsidR="00936265" w:rsidRPr="005E01B5" w:rsidRDefault="00936265" w:rsidP="00936265">
            <w:pPr>
              <w:rPr>
                <w:b/>
                <w:bCs/>
                <w:lang w:eastAsia="en-US"/>
              </w:rPr>
            </w:pPr>
            <w:bookmarkStart w:id="22" w:name="_Hlk153202464"/>
            <w:r w:rsidRPr="005E01B5">
              <w:rPr>
                <w:b/>
                <w:bCs/>
                <w:lang w:eastAsia="en-US"/>
              </w:rPr>
              <w:t>Na</w:t>
            </w:r>
            <w:r w:rsidR="00BC44FD">
              <w:rPr>
                <w:b/>
                <w:bCs/>
                <w:lang w:eastAsia="en-US"/>
              </w:rPr>
              <w:t>me</w:t>
            </w:r>
          </w:p>
        </w:tc>
        <w:tc>
          <w:tcPr>
            <w:tcW w:w="0" w:type="auto"/>
            <w:shd w:val="clear" w:color="auto" w:fill="D9D9D9" w:themeFill="background1" w:themeFillShade="D9"/>
          </w:tcPr>
          <w:p w14:paraId="6B61672E" w14:textId="2D2E7445" w:rsidR="00936265" w:rsidRPr="005E01B5" w:rsidRDefault="00BC44FD" w:rsidP="00936265">
            <w:pPr>
              <w:rPr>
                <w:b/>
                <w:bCs/>
                <w:lang w:eastAsia="en-US"/>
              </w:rPr>
            </w:pPr>
            <w:r>
              <w:rPr>
                <w:b/>
                <w:bCs/>
                <w:lang w:eastAsia="en-US"/>
              </w:rPr>
              <w:t>Processing activity</w:t>
            </w:r>
          </w:p>
        </w:tc>
      </w:tr>
      <w:tr w:rsidR="00936265" w14:paraId="303FD5FC" w14:textId="77777777" w:rsidTr="00936265">
        <w:tc>
          <w:tcPr>
            <w:tcW w:w="0" w:type="auto"/>
          </w:tcPr>
          <w:p w14:paraId="72658830" w14:textId="724E1FB4" w:rsidR="00936265" w:rsidRDefault="00936265" w:rsidP="00936265">
            <w:pPr>
              <w:rPr>
                <w:lang w:eastAsia="en-US"/>
              </w:rPr>
            </w:pPr>
            <w:r w:rsidRPr="00827CAA">
              <w:rPr>
                <w:highlight w:val="yellow"/>
                <w:lang w:eastAsia="en-US"/>
              </w:rPr>
              <w:t>[Schibsted]</w:t>
            </w:r>
          </w:p>
        </w:tc>
        <w:tc>
          <w:tcPr>
            <w:tcW w:w="0" w:type="auto"/>
          </w:tcPr>
          <w:p w14:paraId="3C269C1D" w14:textId="3690753F" w:rsidR="00936265" w:rsidRDefault="00936265" w:rsidP="00936265">
            <w:pPr>
              <w:rPr>
                <w:lang w:eastAsia="en-US"/>
              </w:rPr>
            </w:pPr>
            <w:r w:rsidRPr="00827CAA">
              <w:rPr>
                <w:highlight w:val="yellow"/>
                <w:lang w:eastAsia="en-US"/>
              </w:rPr>
              <w:t>[Marke</w:t>
            </w:r>
            <w:r w:rsidR="00BC44FD">
              <w:rPr>
                <w:highlight w:val="yellow"/>
                <w:lang w:eastAsia="en-US"/>
              </w:rPr>
              <w:t>ting</w:t>
            </w:r>
            <w:r w:rsidRPr="00827CAA">
              <w:rPr>
                <w:highlight w:val="yellow"/>
                <w:lang w:eastAsia="en-US"/>
              </w:rPr>
              <w:t>]</w:t>
            </w:r>
          </w:p>
        </w:tc>
      </w:tr>
      <w:tr w:rsidR="00936265" w14:paraId="04E47CC5" w14:textId="77777777" w:rsidTr="00936265">
        <w:tc>
          <w:tcPr>
            <w:tcW w:w="0" w:type="auto"/>
          </w:tcPr>
          <w:p w14:paraId="1C00E909" w14:textId="77777777" w:rsidR="00936265" w:rsidRDefault="00936265" w:rsidP="00936265">
            <w:pPr>
              <w:rPr>
                <w:lang w:eastAsia="en-US"/>
              </w:rPr>
            </w:pPr>
          </w:p>
        </w:tc>
        <w:tc>
          <w:tcPr>
            <w:tcW w:w="0" w:type="auto"/>
          </w:tcPr>
          <w:p w14:paraId="69F8B27E" w14:textId="77777777" w:rsidR="00936265" w:rsidRDefault="00936265" w:rsidP="00936265">
            <w:pPr>
              <w:rPr>
                <w:lang w:eastAsia="en-US"/>
              </w:rPr>
            </w:pPr>
          </w:p>
        </w:tc>
      </w:tr>
      <w:tr w:rsidR="00936265" w14:paraId="7589AE52" w14:textId="77777777" w:rsidTr="00936265">
        <w:tc>
          <w:tcPr>
            <w:tcW w:w="0" w:type="auto"/>
          </w:tcPr>
          <w:p w14:paraId="4C9341BF" w14:textId="77777777" w:rsidR="00936265" w:rsidRDefault="00936265" w:rsidP="00936265">
            <w:pPr>
              <w:rPr>
                <w:lang w:eastAsia="en-US"/>
              </w:rPr>
            </w:pPr>
          </w:p>
        </w:tc>
        <w:tc>
          <w:tcPr>
            <w:tcW w:w="0" w:type="auto"/>
          </w:tcPr>
          <w:p w14:paraId="484E0E5C" w14:textId="77777777" w:rsidR="00936265" w:rsidRDefault="00936265" w:rsidP="00936265">
            <w:pPr>
              <w:rPr>
                <w:lang w:eastAsia="en-US"/>
              </w:rPr>
            </w:pPr>
          </w:p>
        </w:tc>
      </w:tr>
      <w:bookmarkEnd w:id="22"/>
    </w:tbl>
    <w:p w14:paraId="788133F3" w14:textId="008557B0" w:rsidR="00936265" w:rsidRDefault="00936265" w:rsidP="00936265">
      <w:pPr>
        <w:rPr>
          <w:lang w:eastAsia="en-US"/>
        </w:rPr>
      </w:pPr>
    </w:p>
    <w:p w14:paraId="1681A9D8" w14:textId="1FEF2F4B" w:rsidR="00936265" w:rsidRPr="00BC44FD" w:rsidRDefault="00BC44FD" w:rsidP="00936265">
      <w:pPr>
        <w:pStyle w:val="Overskrift2"/>
        <w:numPr>
          <w:ilvl w:val="0"/>
          <w:numId w:val="11"/>
        </w:numPr>
        <w:rPr>
          <w:lang w:val="en-GB"/>
        </w:rPr>
      </w:pPr>
      <w:r w:rsidRPr="00BC44FD">
        <w:rPr>
          <w:lang w:val="en-GB"/>
        </w:rPr>
        <w:t xml:space="preserve">Sub-processors outside the </w:t>
      </w:r>
      <w:r w:rsidR="00936265" w:rsidRPr="00BC44FD">
        <w:rPr>
          <w:lang w:val="en-GB"/>
        </w:rPr>
        <w:t>EU</w:t>
      </w:r>
      <w:r w:rsidRPr="00BC44FD">
        <w:rPr>
          <w:lang w:val="en-GB"/>
        </w:rPr>
        <w:t>/</w:t>
      </w:r>
      <w:r>
        <w:rPr>
          <w:lang w:val="en-GB"/>
        </w:rPr>
        <w:t>EEA</w:t>
      </w:r>
    </w:p>
    <w:tbl>
      <w:tblPr>
        <w:tblStyle w:val="Tabellrutenett"/>
        <w:tblW w:w="0" w:type="auto"/>
        <w:tblLook w:val="04A0" w:firstRow="1" w:lastRow="0" w:firstColumn="1" w:lastColumn="0" w:noHBand="0" w:noVBand="1"/>
      </w:tblPr>
      <w:tblGrid>
        <w:gridCol w:w="1969"/>
        <w:gridCol w:w="2129"/>
        <w:gridCol w:w="1083"/>
        <w:gridCol w:w="2789"/>
      </w:tblGrid>
      <w:tr w:rsidR="00936265" w14:paraId="04B67CA8" w14:textId="77777777" w:rsidTr="00936265">
        <w:tc>
          <w:tcPr>
            <w:tcW w:w="0" w:type="auto"/>
            <w:shd w:val="clear" w:color="auto" w:fill="D9D9D9" w:themeFill="background1" w:themeFillShade="D9"/>
          </w:tcPr>
          <w:p w14:paraId="56DF16A2" w14:textId="3044A280" w:rsidR="00936265" w:rsidRPr="005E01B5" w:rsidRDefault="00936265" w:rsidP="00936265">
            <w:pPr>
              <w:rPr>
                <w:b/>
                <w:bCs/>
                <w:lang w:eastAsia="en-US"/>
              </w:rPr>
            </w:pPr>
            <w:bookmarkStart w:id="23" w:name="_Hlk153202479"/>
            <w:r w:rsidRPr="005E01B5">
              <w:rPr>
                <w:b/>
                <w:bCs/>
                <w:lang w:eastAsia="en-US"/>
              </w:rPr>
              <w:t>N</w:t>
            </w:r>
            <w:r w:rsidR="00BC44FD">
              <w:rPr>
                <w:b/>
                <w:bCs/>
                <w:lang w:eastAsia="en-US"/>
              </w:rPr>
              <w:t>ame</w:t>
            </w:r>
          </w:p>
        </w:tc>
        <w:tc>
          <w:tcPr>
            <w:tcW w:w="0" w:type="auto"/>
            <w:shd w:val="clear" w:color="auto" w:fill="D9D9D9" w:themeFill="background1" w:themeFillShade="D9"/>
          </w:tcPr>
          <w:p w14:paraId="47741E8A" w14:textId="69E50856" w:rsidR="00936265" w:rsidRPr="005E01B5" w:rsidRDefault="006F4935" w:rsidP="00936265">
            <w:pPr>
              <w:rPr>
                <w:b/>
                <w:bCs/>
                <w:lang w:eastAsia="en-US"/>
              </w:rPr>
            </w:pPr>
            <w:r>
              <w:rPr>
                <w:b/>
                <w:bCs/>
                <w:lang w:eastAsia="en-US"/>
              </w:rPr>
              <w:t>Processing activity</w:t>
            </w:r>
          </w:p>
        </w:tc>
        <w:tc>
          <w:tcPr>
            <w:tcW w:w="0" w:type="auto"/>
            <w:shd w:val="clear" w:color="auto" w:fill="D9D9D9" w:themeFill="background1" w:themeFillShade="D9"/>
          </w:tcPr>
          <w:p w14:paraId="4CC47E3B" w14:textId="46A2B427" w:rsidR="00936265" w:rsidRPr="005E01B5" w:rsidRDefault="00BC44FD" w:rsidP="00936265">
            <w:pPr>
              <w:rPr>
                <w:b/>
                <w:bCs/>
                <w:lang w:eastAsia="en-US"/>
              </w:rPr>
            </w:pPr>
            <w:r>
              <w:rPr>
                <w:b/>
                <w:bCs/>
                <w:lang w:eastAsia="en-US"/>
              </w:rPr>
              <w:t>Country</w:t>
            </w:r>
          </w:p>
        </w:tc>
        <w:tc>
          <w:tcPr>
            <w:tcW w:w="0" w:type="auto"/>
            <w:shd w:val="clear" w:color="auto" w:fill="D9D9D9" w:themeFill="background1" w:themeFillShade="D9"/>
          </w:tcPr>
          <w:p w14:paraId="292B7F11" w14:textId="1C975A62" w:rsidR="00936265" w:rsidRPr="005E01B5" w:rsidRDefault="00BC44FD" w:rsidP="00936265">
            <w:pPr>
              <w:rPr>
                <w:b/>
                <w:bCs/>
                <w:lang w:eastAsia="en-US"/>
              </w:rPr>
            </w:pPr>
            <w:r>
              <w:rPr>
                <w:b/>
                <w:bCs/>
                <w:lang w:eastAsia="en-US"/>
              </w:rPr>
              <w:t>Legal basis for transfer</w:t>
            </w:r>
          </w:p>
        </w:tc>
      </w:tr>
      <w:tr w:rsidR="00936265" w14:paraId="41C69E25" w14:textId="77777777" w:rsidTr="00936265">
        <w:tc>
          <w:tcPr>
            <w:tcW w:w="0" w:type="auto"/>
          </w:tcPr>
          <w:p w14:paraId="67D8E576" w14:textId="40731F7D" w:rsidR="00936265" w:rsidRDefault="00936265" w:rsidP="00936265">
            <w:pPr>
              <w:rPr>
                <w:lang w:eastAsia="en-US"/>
              </w:rPr>
            </w:pPr>
            <w:r w:rsidRPr="005E01B5">
              <w:rPr>
                <w:highlight w:val="yellow"/>
                <w:lang w:eastAsia="en-US"/>
              </w:rPr>
              <w:t>[Microsoft Azure]</w:t>
            </w:r>
          </w:p>
        </w:tc>
        <w:tc>
          <w:tcPr>
            <w:tcW w:w="0" w:type="auto"/>
          </w:tcPr>
          <w:p w14:paraId="06E7D50F" w14:textId="3580C1FD" w:rsidR="00936265" w:rsidRDefault="00936265" w:rsidP="00936265">
            <w:pPr>
              <w:rPr>
                <w:lang w:eastAsia="en-US"/>
              </w:rPr>
            </w:pPr>
            <w:r w:rsidRPr="005E01B5">
              <w:rPr>
                <w:highlight w:val="yellow"/>
                <w:lang w:eastAsia="en-US"/>
              </w:rPr>
              <w:t>[</w:t>
            </w:r>
            <w:r w:rsidR="00BC44FD">
              <w:rPr>
                <w:highlight w:val="yellow"/>
                <w:lang w:eastAsia="en-US"/>
              </w:rPr>
              <w:t>Cloud provider</w:t>
            </w:r>
            <w:r w:rsidRPr="005E01B5">
              <w:rPr>
                <w:highlight w:val="yellow"/>
                <w:lang w:eastAsia="en-US"/>
              </w:rPr>
              <w:t>]</w:t>
            </w:r>
          </w:p>
        </w:tc>
        <w:tc>
          <w:tcPr>
            <w:tcW w:w="0" w:type="auto"/>
          </w:tcPr>
          <w:p w14:paraId="06E5573A" w14:textId="73C931F2" w:rsidR="00936265" w:rsidRDefault="00936265" w:rsidP="00936265">
            <w:pPr>
              <w:rPr>
                <w:lang w:eastAsia="en-US"/>
              </w:rPr>
            </w:pPr>
            <w:r w:rsidRPr="005E01B5">
              <w:rPr>
                <w:highlight w:val="yellow"/>
                <w:lang w:eastAsia="en-US"/>
              </w:rPr>
              <w:t>[USA]</w:t>
            </w:r>
          </w:p>
        </w:tc>
        <w:tc>
          <w:tcPr>
            <w:tcW w:w="0" w:type="auto"/>
          </w:tcPr>
          <w:p w14:paraId="274FF715" w14:textId="4A55FC8C" w:rsidR="00936265" w:rsidRDefault="00936265" w:rsidP="00936265">
            <w:pPr>
              <w:rPr>
                <w:lang w:eastAsia="en-US"/>
              </w:rPr>
            </w:pPr>
            <w:r w:rsidRPr="005E01B5">
              <w:rPr>
                <w:highlight w:val="yellow"/>
                <w:lang w:eastAsia="en-US"/>
              </w:rPr>
              <w:t>[Data Privacy Framework]</w:t>
            </w:r>
          </w:p>
        </w:tc>
      </w:tr>
      <w:tr w:rsidR="00936265" w14:paraId="701E555A" w14:textId="77777777" w:rsidTr="00936265">
        <w:tc>
          <w:tcPr>
            <w:tcW w:w="0" w:type="auto"/>
          </w:tcPr>
          <w:p w14:paraId="7BADD026" w14:textId="7C8AE896" w:rsidR="00936265" w:rsidRDefault="00936265" w:rsidP="00936265">
            <w:pPr>
              <w:rPr>
                <w:lang w:eastAsia="en-US"/>
              </w:rPr>
            </w:pPr>
            <w:bookmarkStart w:id="24" w:name="_Hlk152681871"/>
          </w:p>
        </w:tc>
        <w:tc>
          <w:tcPr>
            <w:tcW w:w="0" w:type="auto"/>
          </w:tcPr>
          <w:p w14:paraId="5617326C" w14:textId="10FAB1FD" w:rsidR="00936265" w:rsidRDefault="00936265" w:rsidP="00936265">
            <w:pPr>
              <w:rPr>
                <w:lang w:eastAsia="en-US"/>
              </w:rPr>
            </w:pPr>
          </w:p>
        </w:tc>
        <w:tc>
          <w:tcPr>
            <w:tcW w:w="0" w:type="auto"/>
          </w:tcPr>
          <w:p w14:paraId="52F6335F" w14:textId="2306BDBD" w:rsidR="00936265" w:rsidRDefault="00936265" w:rsidP="00936265">
            <w:pPr>
              <w:rPr>
                <w:lang w:eastAsia="en-US"/>
              </w:rPr>
            </w:pPr>
          </w:p>
        </w:tc>
        <w:tc>
          <w:tcPr>
            <w:tcW w:w="0" w:type="auto"/>
          </w:tcPr>
          <w:p w14:paraId="4A1DB10E" w14:textId="38A67552" w:rsidR="00936265" w:rsidRDefault="00936265" w:rsidP="00936265">
            <w:pPr>
              <w:rPr>
                <w:lang w:eastAsia="en-US"/>
              </w:rPr>
            </w:pPr>
          </w:p>
        </w:tc>
      </w:tr>
      <w:bookmarkEnd w:id="24"/>
      <w:tr w:rsidR="00936265" w14:paraId="62A3EEA8" w14:textId="77777777" w:rsidTr="00936265">
        <w:tc>
          <w:tcPr>
            <w:tcW w:w="0" w:type="auto"/>
          </w:tcPr>
          <w:p w14:paraId="56BD53C8" w14:textId="77777777" w:rsidR="00936265" w:rsidRDefault="00936265" w:rsidP="00936265">
            <w:pPr>
              <w:rPr>
                <w:lang w:eastAsia="en-US"/>
              </w:rPr>
            </w:pPr>
          </w:p>
        </w:tc>
        <w:tc>
          <w:tcPr>
            <w:tcW w:w="0" w:type="auto"/>
          </w:tcPr>
          <w:p w14:paraId="384403B0" w14:textId="77777777" w:rsidR="00936265" w:rsidRDefault="00936265" w:rsidP="00936265">
            <w:pPr>
              <w:rPr>
                <w:lang w:eastAsia="en-US"/>
              </w:rPr>
            </w:pPr>
          </w:p>
        </w:tc>
        <w:tc>
          <w:tcPr>
            <w:tcW w:w="0" w:type="auto"/>
          </w:tcPr>
          <w:p w14:paraId="244E3D39" w14:textId="77777777" w:rsidR="00936265" w:rsidRDefault="00936265" w:rsidP="00936265">
            <w:pPr>
              <w:rPr>
                <w:lang w:eastAsia="en-US"/>
              </w:rPr>
            </w:pPr>
          </w:p>
        </w:tc>
        <w:tc>
          <w:tcPr>
            <w:tcW w:w="0" w:type="auto"/>
          </w:tcPr>
          <w:p w14:paraId="688F75B7" w14:textId="77777777" w:rsidR="00936265" w:rsidRDefault="00936265" w:rsidP="00936265">
            <w:pPr>
              <w:rPr>
                <w:lang w:eastAsia="en-US"/>
              </w:rPr>
            </w:pPr>
          </w:p>
        </w:tc>
      </w:tr>
      <w:bookmarkEnd w:id="23"/>
    </w:tbl>
    <w:p w14:paraId="71B99C73" w14:textId="119669C9" w:rsidR="00936265" w:rsidRDefault="00936265" w:rsidP="00936265">
      <w:pPr>
        <w:rPr>
          <w:lang w:eastAsia="en-US"/>
        </w:rPr>
      </w:pPr>
    </w:p>
    <w:p w14:paraId="52650B47" w14:textId="167DB6AA" w:rsidR="00936265" w:rsidRDefault="00BC44FD" w:rsidP="00936265">
      <w:pPr>
        <w:pStyle w:val="Overskrift2"/>
        <w:numPr>
          <w:ilvl w:val="0"/>
          <w:numId w:val="11"/>
        </w:numPr>
      </w:pPr>
      <w:r>
        <w:t>Contacts</w:t>
      </w:r>
    </w:p>
    <w:p w14:paraId="1876601D" w14:textId="2C6227D8" w:rsidR="00936265" w:rsidRPr="00BC44FD" w:rsidRDefault="00BC44FD" w:rsidP="00936265">
      <w:pPr>
        <w:rPr>
          <w:lang w:val="en-GB" w:eastAsia="en-US"/>
        </w:rPr>
      </w:pPr>
      <w:bookmarkStart w:id="25" w:name="_Hlk153202249"/>
      <w:r w:rsidRPr="00BC44FD">
        <w:rPr>
          <w:lang w:val="en-GB" w:eastAsia="en-US"/>
        </w:rPr>
        <w:t>Contact person for the Controller</w:t>
      </w:r>
      <w:r w:rsidR="00936265" w:rsidRPr="00BC44FD">
        <w:rPr>
          <w:lang w:val="en-GB" w:eastAsia="en-US"/>
        </w:rPr>
        <w:t xml:space="preserve">: </w:t>
      </w:r>
      <w:r w:rsidR="00E55EB8" w:rsidRPr="00BC44FD">
        <w:rPr>
          <w:highlight w:val="yellow"/>
          <w:lang w:val="en-GB" w:eastAsia="en-US"/>
        </w:rPr>
        <w:t>[Na</w:t>
      </w:r>
      <w:r w:rsidRPr="00BC44FD">
        <w:rPr>
          <w:highlight w:val="yellow"/>
          <w:lang w:val="en-GB" w:eastAsia="en-US"/>
        </w:rPr>
        <w:t>me</w:t>
      </w:r>
      <w:r w:rsidR="00E55EB8" w:rsidRPr="00BC44FD">
        <w:rPr>
          <w:highlight w:val="yellow"/>
          <w:lang w:val="en-GB" w:eastAsia="en-US"/>
        </w:rPr>
        <w:t>, e-</w:t>
      </w:r>
      <w:r w:rsidRPr="00BC44FD">
        <w:rPr>
          <w:highlight w:val="yellow"/>
          <w:lang w:val="en-GB" w:eastAsia="en-US"/>
        </w:rPr>
        <w:t>mail</w:t>
      </w:r>
      <w:r w:rsidR="00E55EB8" w:rsidRPr="00BC44FD">
        <w:rPr>
          <w:highlight w:val="yellow"/>
          <w:lang w:val="en-GB" w:eastAsia="en-US"/>
        </w:rPr>
        <w:t xml:space="preserve">, </w:t>
      </w:r>
      <w:r w:rsidRPr="00BC44FD">
        <w:rPr>
          <w:highlight w:val="yellow"/>
          <w:lang w:val="en-GB" w:eastAsia="en-US"/>
        </w:rPr>
        <w:t>phone</w:t>
      </w:r>
      <w:r w:rsidR="00E55EB8" w:rsidRPr="00BC44FD">
        <w:rPr>
          <w:highlight w:val="yellow"/>
          <w:lang w:val="en-GB" w:eastAsia="en-US"/>
        </w:rPr>
        <w:t>]</w:t>
      </w:r>
    </w:p>
    <w:p w14:paraId="05E218D8" w14:textId="723716BC" w:rsidR="00E55EB8" w:rsidRPr="00BC44FD" w:rsidRDefault="00E55EB8" w:rsidP="00936265">
      <w:pPr>
        <w:rPr>
          <w:lang w:val="en-GB" w:eastAsia="en-US"/>
        </w:rPr>
      </w:pPr>
    </w:p>
    <w:p w14:paraId="46700F60" w14:textId="6F35BD3F" w:rsidR="00E55EB8" w:rsidRPr="00CF2296" w:rsidRDefault="00BC44FD" w:rsidP="005E01B5">
      <w:pPr>
        <w:rPr>
          <w:lang w:val="en-GB" w:eastAsia="en-US"/>
        </w:rPr>
      </w:pPr>
      <w:r w:rsidRPr="00CF2296">
        <w:rPr>
          <w:lang w:val="en-GB" w:eastAsia="en-US"/>
        </w:rPr>
        <w:t>Contact person for the Processor</w:t>
      </w:r>
      <w:r w:rsidR="00E55EB8" w:rsidRPr="00CF2296">
        <w:rPr>
          <w:lang w:val="en-GB" w:eastAsia="en-US"/>
        </w:rPr>
        <w:t xml:space="preserve">: </w:t>
      </w:r>
      <w:r w:rsidR="00E55EB8" w:rsidRPr="00CF2296">
        <w:rPr>
          <w:highlight w:val="yellow"/>
          <w:lang w:val="en-GB" w:eastAsia="en-US"/>
        </w:rPr>
        <w:t>[Na</w:t>
      </w:r>
      <w:r w:rsidRPr="00CF2296">
        <w:rPr>
          <w:highlight w:val="yellow"/>
          <w:lang w:val="en-GB" w:eastAsia="en-US"/>
        </w:rPr>
        <w:t>me</w:t>
      </w:r>
      <w:r w:rsidR="00E55EB8" w:rsidRPr="00CF2296">
        <w:rPr>
          <w:highlight w:val="yellow"/>
          <w:lang w:val="en-GB" w:eastAsia="en-US"/>
        </w:rPr>
        <w:t>, e-</w:t>
      </w:r>
      <w:r w:rsidRPr="00CF2296">
        <w:rPr>
          <w:highlight w:val="yellow"/>
          <w:lang w:val="en-GB" w:eastAsia="en-US"/>
        </w:rPr>
        <w:t>mail</w:t>
      </w:r>
      <w:r w:rsidR="00E55EB8" w:rsidRPr="00CF2296">
        <w:rPr>
          <w:highlight w:val="yellow"/>
          <w:lang w:val="en-GB" w:eastAsia="en-US"/>
        </w:rPr>
        <w:t xml:space="preserve">, </w:t>
      </w:r>
      <w:r w:rsidRPr="00CF2296">
        <w:rPr>
          <w:highlight w:val="yellow"/>
          <w:lang w:val="en-GB" w:eastAsia="en-US"/>
        </w:rPr>
        <w:t>phone</w:t>
      </w:r>
      <w:r w:rsidR="00E55EB8" w:rsidRPr="00CF2296">
        <w:rPr>
          <w:highlight w:val="yellow"/>
          <w:lang w:val="en-GB" w:eastAsia="en-US"/>
        </w:rPr>
        <w:t>]</w:t>
      </w:r>
      <w:bookmarkEnd w:id="25"/>
    </w:p>
    <w:sectPr w:rsidR="00E55EB8" w:rsidRPr="00CF229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6A42" w14:textId="77777777" w:rsidR="0021370A" w:rsidRDefault="0021370A" w:rsidP="00D25012">
      <w:r>
        <w:separator/>
      </w:r>
    </w:p>
  </w:endnote>
  <w:endnote w:type="continuationSeparator" w:id="0">
    <w:p w14:paraId="32009AB8" w14:textId="77777777" w:rsidR="0021370A" w:rsidRDefault="0021370A"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607A" w14:textId="77777777" w:rsidR="00532E19" w:rsidRDefault="00532E1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8B86" w14:textId="34C3215F" w:rsidR="00DC0737" w:rsidRDefault="00DC0737">
    <w:pPr>
      <w:pStyle w:val="Bunntekst"/>
    </w:pPr>
    <w:r>
      <w:fldChar w:fldCharType="begin"/>
    </w:r>
    <w:r>
      <w:instrText xml:space="preserve"> TIME \@ "dd.MM.yyyy" </w:instrText>
    </w:r>
    <w:r>
      <w:fldChar w:fldCharType="separate"/>
    </w:r>
    <w:r w:rsidR="008A6742">
      <w:rPr>
        <w:noProof/>
      </w:rPr>
      <w:t>22.03.2024</w:t>
    </w:r>
    <w:r>
      <w:fldChar w:fldCharType="end"/>
    </w:r>
  </w:p>
  <w:p w14:paraId="0AE6C0FD" w14:textId="77777777" w:rsidR="00DC0737" w:rsidRDefault="00DC07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C7F2" w14:textId="77777777" w:rsidR="00532E19" w:rsidRDefault="00532E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1BCD" w14:textId="77777777" w:rsidR="0021370A" w:rsidRDefault="0021370A" w:rsidP="00D25012">
      <w:r>
        <w:separator/>
      </w:r>
    </w:p>
  </w:footnote>
  <w:footnote w:type="continuationSeparator" w:id="0">
    <w:p w14:paraId="52B9F0C7" w14:textId="77777777" w:rsidR="0021370A" w:rsidRDefault="0021370A"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4292" w14:textId="77777777" w:rsidR="00532E19" w:rsidRDefault="00532E1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06BB" w14:textId="32D891AA" w:rsidR="00DC0737" w:rsidRDefault="00DC0737" w:rsidP="00DC0737">
    <w:pPr>
      <w:pStyle w:val="Topptekst"/>
      <w:jc w:val="right"/>
    </w:pPr>
  </w:p>
  <w:p w14:paraId="5D9263EC" w14:textId="77777777" w:rsidR="00DC0737" w:rsidRDefault="00DC07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E046" w14:textId="77777777" w:rsidR="00532E19" w:rsidRDefault="00532E1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90265B7"/>
    <w:multiLevelType w:val="hybridMultilevel"/>
    <w:tmpl w:val="5686DDD8"/>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126271184">
    <w:abstractNumId w:val="10"/>
  </w:num>
  <w:num w:numId="2" w16cid:durableId="582180060">
    <w:abstractNumId w:val="3"/>
  </w:num>
  <w:num w:numId="3" w16cid:durableId="826550335">
    <w:abstractNumId w:val="9"/>
  </w:num>
  <w:num w:numId="4" w16cid:durableId="2046633090">
    <w:abstractNumId w:val="1"/>
  </w:num>
  <w:num w:numId="5" w16cid:durableId="653995037">
    <w:abstractNumId w:val="5"/>
  </w:num>
  <w:num w:numId="6" w16cid:durableId="1405759827">
    <w:abstractNumId w:val="6"/>
  </w:num>
  <w:num w:numId="7" w16cid:durableId="848833287">
    <w:abstractNumId w:val="0"/>
  </w:num>
  <w:num w:numId="8" w16cid:durableId="1122577697">
    <w:abstractNumId w:val="2"/>
  </w:num>
  <w:num w:numId="9" w16cid:durableId="1248536354">
    <w:abstractNumId w:val="4"/>
  </w:num>
  <w:num w:numId="10" w16cid:durableId="1186598504">
    <w:abstractNumId w:val="7"/>
  </w:num>
  <w:num w:numId="11" w16cid:durableId="613485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217BC"/>
    <w:rsid w:val="000307AC"/>
    <w:rsid w:val="00032379"/>
    <w:rsid w:val="00037274"/>
    <w:rsid w:val="00037A55"/>
    <w:rsid w:val="00061054"/>
    <w:rsid w:val="00071F39"/>
    <w:rsid w:val="00076E42"/>
    <w:rsid w:val="000A081D"/>
    <w:rsid w:val="000B33D3"/>
    <w:rsid w:val="000B4BE2"/>
    <w:rsid w:val="000C3011"/>
    <w:rsid w:val="000C628F"/>
    <w:rsid w:val="000C6541"/>
    <w:rsid w:val="000D0489"/>
    <w:rsid w:val="000E0C70"/>
    <w:rsid w:val="000F0F91"/>
    <w:rsid w:val="001100CA"/>
    <w:rsid w:val="00111B01"/>
    <w:rsid w:val="001345D6"/>
    <w:rsid w:val="00135F44"/>
    <w:rsid w:val="001465A8"/>
    <w:rsid w:val="00153214"/>
    <w:rsid w:val="00156942"/>
    <w:rsid w:val="00162B89"/>
    <w:rsid w:val="00165A06"/>
    <w:rsid w:val="00167F79"/>
    <w:rsid w:val="001813C9"/>
    <w:rsid w:val="00182055"/>
    <w:rsid w:val="001A6273"/>
    <w:rsid w:val="001A75E6"/>
    <w:rsid w:val="001A77A4"/>
    <w:rsid w:val="001B1E94"/>
    <w:rsid w:val="001B2E79"/>
    <w:rsid w:val="001B4BC2"/>
    <w:rsid w:val="001C4819"/>
    <w:rsid w:val="001C6FCF"/>
    <w:rsid w:val="001D1B43"/>
    <w:rsid w:val="001E0D63"/>
    <w:rsid w:val="001E27C0"/>
    <w:rsid w:val="001E3353"/>
    <w:rsid w:val="001E69A8"/>
    <w:rsid w:val="001F5C65"/>
    <w:rsid w:val="0021123B"/>
    <w:rsid w:val="0021370A"/>
    <w:rsid w:val="002213F6"/>
    <w:rsid w:val="00221D52"/>
    <w:rsid w:val="00226945"/>
    <w:rsid w:val="00231589"/>
    <w:rsid w:val="00236E1A"/>
    <w:rsid w:val="00240329"/>
    <w:rsid w:val="00240DA2"/>
    <w:rsid w:val="00247299"/>
    <w:rsid w:val="0026470B"/>
    <w:rsid w:val="002725B4"/>
    <w:rsid w:val="00276775"/>
    <w:rsid w:val="002806C1"/>
    <w:rsid w:val="00284714"/>
    <w:rsid w:val="002A7E8B"/>
    <w:rsid w:val="002D271A"/>
    <w:rsid w:val="002D30A2"/>
    <w:rsid w:val="002D4A72"/>
    <w:rsid w:val="002D4B20"/>
    <w:rsid w:val="002E1E97"/>
    <w:rsid w:val="002E76B2"/>
    <w:rsid w:val="002F67C5"/>
    <w:rsid w:val="00301CAA"/>
    <w:rsid w:val="003026A3"/>
    <w:rsid w:val="00316805"/>
    <w:rsid w:val="00320FB3"/>
    <w:rsid w:val="0032684B"/>
    <w:rsid w:val="00330AD1"/>
    <w:rsid w:val="0033631C"/>
    <w:rsid w:val="0033643B"/>
    <w:rsid w:val="0035780D"/>
    <w:rsid w:val="0036260D"/>
    <w:rsid w:val="0036352B"/>
    <w:rsid w:val="00371489"/>
    <w:rsid w:val="00376136"/>
    <w:rsid w:val="003775D5"/>
    <w:rsid w:val="003847E0"/>
    <w:rsid w:val="0039280A"/>
    <w:rsid w:val="003947EE"/>
    <w:rsid w:val="0039648B"/>
    <w:rsid w:val="003A4224"/>
    <w:rsid w:val="003A466E"/>
    <w:rsid w:val="003A5392"/>
    <w:rsid w:val="003A56B5"/>
    <w:rsid w:val="003A68C6"/>
    <w:rsid w:val="003B47AD"/>
    <w:rsid w:val="003C193E"/>
    <w:rsid w:val="003D4019"/>
    <w:rsid w:val="003D521B"/>
    <w:rsid w:val="003E2298"/>
    <w:rsid w:val="003F33D1"/>
    <w:rsid w:val="003F5005"/>
    <w:rsid w:val="003F66A8"/>
    <w:rsid w:val="004033F8"/>
    <w:rsid w:val="00407500"/>
    <w:rsid w:val="00416235"/>
    <w:rsid w:val="00424D65"/>
    <w:rsid w:val="0042580D"/>
    <w:rsid w:val="00430134"/>
    <w:rsid w:val="00431C7A"/>
    <w:rsid w:val="00434977"/>
    <w:rsid w:val="004358CE"/>
    <w:rsid w:val="004362BD"/>
    <w:rsid w:val="00443086"/>
    <w:rsid w:val="0045131D"/>
    <w:rsid w:val="00457C80"/>
    <w:rsid w:val="0046612C"/>
    <w:rsid w:val="00473806"/>
    <w:rsid w:val="00476251"/>
    <w:rsid w:val="00477E55"/>
    <w:rsid w:val="00481E06"/>
    <w:rsid w:val="004848F8"/>
    <w:rsid w:val="00490CDE"/>
    <w:rsid w:val="00491903"/>
    <w:rsid w:val="004B3C76"/>
    <w:rsid w:val="004E4E29"/>
    <w:rsid w:val="004E7E48"/>
    <w:rsid w:val="004F4137"/>
    <w:rsid w:val="004F4544"/>
    <w:rsid w:val="004F4C9F"/>
    <w:rsid w:val="00502CDF"/>
    <w:rsid w:val="00505205"/>
    <w:rsid w:val="005054B7"/>
    <w:rsid w:val="00516981"/>
    <w:rsid w:val="00523658"/>
    <w:rsid w:val="005263D0"/>
    <w:rsid w:val="00532E19"/>
    <w:rsid w:val="00540561"/>
    <w:rsid w:val="00542F25"/>
    <w:rsid w:val="005512F0"/>
    <w:rsid w:val="005643FE"/>
    <w:rsid w:val="00567385"/>
    <w:rsid w:val="00570F88"/>
    <w:rsid w:val="00572B03"/>
    <w:rsid w:val="00587F90"/>
    <w:rsid w:val="00590C72"/>
    <w:rsid w:val="00597FEF"/>
    <w:rsid w:val="005A3848"/>
    <w:rsid w:val="005A4F2A"/>
    <w:rsid w:val="005A7E58"/>
    <w:rsid w:val="005B363A"/>
    <w:rsid w:val="005B4EB7"/>
    <w:rsid w:val="005C4C14"/>
    <w:rsid w:val="005D31F9"/>
    <w:rsid w:val="005E01B5"/>
    <w:rsid w:val="005E20F1"/>
    <w:rsid w:val="00600AAC"/>
    <w:rsid w:val="00602030"/>
    <w:rsid w:val="00607BC7"/>
    <w:rsid w:val="00615D21"/>
    <w:rsid w:val="0061695C"/>
    <w:rsid w:val="00616FE2"/>
    <w:rsid w:val="00632155"/>
    <w:rsid w:val="00651A32"/>
    <w:rsid w:val="00653181"/>
    <w:rsid w:val="006601AA"/>
    <w:rsid w:val="00664588"/>
    <w:rsid w:val="0067699F"/>
    <w:rsid w:val="0068242D"/>
    <w:rsid w:val="006953B0"/>
    <w:rsid w:val="006A0EF1"/>
    <w:rsid w:val="006A24FD"/>
    <w:rsid w:val="006B005F"/>
    <w:rsid w:val="006C5D6C"/>
    <w:rsid w:val="006E063C"/>
    <w:rsid w:val="006E1892"/>
    <w:rsid w:val="006F4935"/>
    <w:rsid w:val="00701CA2"/>
    <w:rsid w:val="00716188"/>
    <w:rsid w:val="007243DA"/>
    <w:rsid w:val="00730E6B"/>
    <w:rsid w:val="00735DB8"/>
    <w:rsid w:val="007464E8"/>
    <w:rsid w:val="00756321"/>
    <w:rsid w:val="00784F78"/>
    <w:rsid w:val="00793E0C"/>
    <w:rsid w:val="007A27EC"/>
    <w:rsid w:val="007B0130"/>
    <w:rsid w:val="007B3E27"/>
    <w:rsid w:val="007B54AC"/>
    <w:rsid w:val="007C064C"/>
    <w:rsid w:val="007C073C"/>
    <w:rsid w:val="007C2B00"/>
    <w:rsid w:val="007D651F"/>
    <w:rsid w:val="007D66B0"/>
    <w:rsid w:val="007E15F4"/>
    <w:rsid w:val="007E2194"/>
    <w:rsid w:val="007E3113"/>
    <w:rsid w:val="007F1407"/>
    <w:rsid w:val="007F627E"/>
    <w:rsid w:val="007F7DCA"/>
    <w:rsid w:val="0080314E"/>
    <w:rsid w:val="00803A5C"/>
    <w:rsid w:val="0081323B"/>
    <w:rsid w:val="00816B10"/>
    <w:rsid w:val="0082529E"/>
    <w:rsid w:val="0082699C"/>
    <w:rsid w:val="00852AC1"/>
    <w:rsid w:val="00853DD5"/>
    <w:rsid w:val="0086044C"/>
    <w:rsid w:val="00864B3A"/>
    <w:rsid w:val="00866350"/>
    <w:rsid w:val="00893E14"/>
    <w:rsid w:val="008A6742"/>
    <w:rsid w:val="008B46D1"/>
    <w:rsid w:val="008B7C30"/>
    <w:rsid w:val="008C416B"/>
    <w:rsid w:val="008C637E"/>
    <w:rsid w:val="008C64F0"/>
    <w:rsid w:val="008C7AFE"/>
    <w:rsid w:val="008E0915"/>
    <w:rsid w:val="008E34B2"/>
    <w:rsid w:val="008E4AA4"/>
    <w:rsid w:val="008E5FE7"/>
    <w:rsid w:val="008F4964"/>
    <w:rsid w:val="009069FE"/>
    <w:rsid w:val="009177CF"/>
    <w:rsid w:val="00917C98"/>
    <w:rsid w:val="00927F7D"/>
    <w:rsid w:val="00936265"/>
    <w:rsid w:val="00937A9F"/>
    <w:rsid w:val="00940D23"/>
    <w:rsid w:val="00942E8E"/>
    <w:rsid w:val="00947C2A"/>
    <w:rsid w:val="009520BF"/>
    <w:rsid w:val="00961EEF"/>
    <w:rsid w:val="0096733A"/>
    <w:rsid w:val="009711BE"/>
    <w:rsid w:val="00985225"/>
    <w:rsid w:val="00994B58"/>
    <w:rsid w:val="00996402"/>
    <w:rsid w:val="009975CE"/>
    <w:rsid w:val="009A207F"/>
    <w:rsid w:val="009A44FB"/>
    <w:rsid w:val="009A4F3F"/>
    <w:rsid w:val="009C1073"/>
    <w:rsid w:val="009C10FB"/>
    <w:rsid w:val="009C671C"/>
    <w:rsid w:val="009C7B56"/>
    <w:rsid w:val="009E764C"/>
    <w:rsid w:val="009F2DD1"/>
    <w:rsid w:val="009F5A71"/>
    <w:rsid w:val="00A00EB1"/>
    <w:rsid w:val="00A0229B"/>
    <w:rsid w:val="00A056C0"/>
    <w:rsid w:val="00A070BA"/>
    <w:rsid w:val="00A21770"/>
    <w:rsid w:val="00A2202F"/>
    <w:rsid w:val="00A279BF"/>
    <w:rsid w:val="00A43DAC"/>
    <w:rsid w:val="00A6073B"/>
    <w:rsid w:val="00A72B5A"/>
    <w:rsid w:val="00A73E65"/>
    <w:rsid w:val="00A77BFF"/>
    <w:rsid w:val="00A92408"/>
    <w:rsid w:val="00A95C2E"/>
    <w:rsid w:val="00AA103D"/>
    <w:rsid w:val="00AC11B6"/>
    <w:rsid w:val="00AE57C7"/>
    <w:rsid w:val="00AF27FF"/>
    <w:rsid w:val="00AF70F0"/>
    <w:rsid w:val="00B04839"/>
    <w:rsid w:val="00B13072"/>
    <w:rsid w:val="00B13649"/>
    <w:rsid w:val="00B24600"/>
    <w:rsid w:val="00B33295"/>
    <w:rsid w:val="00B4560A"/>
    <w:rsid w:val="00B47619"/>
    <w:rsid w:val="00B6625E"/>
    <w:rsid w:val="00B70151"/>
    <w:rsid w:val="00B75DA7"/>
    <w:rsid w:val="00B768C3"/>
    <w:rsid w:val="00B8055F"/>
    <w:rsid w:val="00B85F40"/>
    <w:rsid w:val="00B94FD3"/>
    <w:rsid w:val="00BA02A9"/>
    <w:rsid w:val="00BA1A05"/>
    <w:rsid w:val="00BA57EE"/>
    <w:rsid w:val="00BB34CC"/>
    <w:rsid w:val="00BC44FD"/>
    <w:rsid w:val="00BD4244"/>
    <w:rsid w:val="00BD4597"/>
    <w:rsid w:val="00BD4672"/>
    <w:rsid w:val="00BD4FCA"/>
    <w:rsid w:val="00BF2618"/>
    <w:rsid w:val="00BF3BDA"/>
    <w:rsid w:val="00C07EE1"/>
    <w:rsid w:val="00C265BD"/>
    <w:rsid w:val="00C27E29"/>
    <w:rsid w:val="00C37048"/>
    <w:rsid w:val="00C372E5"/>
    <w:rsid w:val="00C4193B"/>
    <w:rsid w:val="00C46625"/>
    <w:rsid w:val="00C529B9"/>
    <w:rsid w:val="00C60EB3"/>
    <w:rsid w:val="00C70D3B"/>
    <w:rsid w:val="00C71772"/>
    <w:rsid w:val="00C86D82"/>
    <w:rsid w:val="00CA1708"/>
    <w:rsid w:val="00CC1406"/>
    <w:rsid w:val="00CD0068"/>
    <w:rsid w:val="00CD7A17"/>
    <w:rsid w:val="00CE2811"/>
    <w:rsid w:val="00CF2296"/>
    <w:rsid w:val="00CF6805"/>
    <w:rsid w:val="00D0070E"/>
    <w:rsid w:val="00D13E29"/>
    <w:rsid w:val="00D20B32"/>
    <w:rsid w:val="00D2484F"/>
    <w:rsid w:val="00D25012"/>
    <w:rsid w:val="00D30E00"/>
    <w:rsid w:val="00D3120E"/>
    <w:rsid w:val="00D338FB"/>
    <w:rsid w:val="00D362BB"/>
    <w:rsid w:val="00D435D9"/>
    <w:rsid w:val="00D5170F"/>
    <w:rsid w:val="00D76029"/>
    <w:rsid w:val="00D8357B"/>
    <w:rsid w:val="00D92724"/>
    <w:rsid w:val="00D9512F"/>
    <w:rsid w:val="00DC0737"/>
    <w:rsid w:val="00DC5367"/>
    <w:rsid w:val="00DC699D"/>
    <w:rsid w:val="00DD0BAD"/>
    <w:rsid w:val="00DE5927"/>
    <w:rsid w:val="00DF3742"/>
    <w:rsid w:val="00DF4170"/>
    <w:rsid w:val="00DF42C8"/>
    <w:rsid w:val="00DF5519"/>
    <w:rsid w:val="00E00B4E"/>
    <w:rsid w:val="00E32BE2"/>
    <w:rsid w:val="00E351F0"/>
    <w:rsid w:val="00E36914"/>
    <w:rsid w:val="00E5301E"/>
    <w:rsid w:val="00E55857"/>
    <w:rsid w:val="00E55EB8"/>
    <w:rsid w:val="00E61167"/>
    <w:rsid w:val="00E703CD"/>
    <w:rsid w:val="00E7111E"/>
    <w:rsid w:val="00E72F6B"/>
    <w:rsid w:val="00E73EEC"/>
    <w:rsid w:val="00E846F6"/>
    <w:rsid w:val="00E87234"/>
    <w:rsid w:val="00E96B6C"/>
    <w:rsid w:val="00ED1AA6"/>
    <w:rsid w:val="00ED4396"/>
    <w:rsid w:val="00ED55A0"/>
    <w:rsid w:val="00EE7F53"/>
    <w:rsid w:val="00EF0C99"/>
    <w:rsid w:val="00F04AFD"/>
    <w:rsid w:val="00F13E1C"/>
    <w:rsid w:val="00F22712"/>
    <w:rsid w:val="00F253FC"/>
    <w:rsid w:val="00F271F4"/>
    <w:rsid w:val="00F51A32"/>
    <w:rsid w:val="00F52166"/>
    <w:rsid w:val="00F57556"/>
    <w:rsid w:val="00F66BC7"/>
    <w:rsid w:val="00F70309"/>
    <w:rsid w:val="00F7557B"/>
    <w:rsid w:val="00F75AFC"/>
    <w:rsid w:val="00F828E6"/>
    <w:rsid w:val="00F910B5"/>
    <w:rsid w:val="00F97A13"/>
    <w:rsid w:val="00FA1218"/>
    <w:rsid w:val="00FA7F37"/>
    <w:rsid w:val="00FB2ABB"/>
    <w:rsid w:val="00FB70B2"/>
    <w:rsid w:val="00FC2580"/>
    <w:rsid w:val="00FC4381"/>
    <w:rsid w:val="00FD3E0A"/>
    <w:rsid w:val="00FD5FA8"/>
    <w:rsid w:val="00FE5668"/>
    <w:rsid w:val="00FE75C2"/>
    <w:rsid w:val="00FF5F0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E28A4"/>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character" w:styleId="Ulstomtale">
    <w:name w:val="Unresolved Mention"/>
    <w:basedOn w:val="Standardskriftforavsnitt"/>
    <w:uiPriority w:val="99"/>
    <w:semiHidden/>
    <w:unhideWhenUsed/>
    <w:rsid w:val="007C2B00"/>
    <w:rPr>
      <w:color w:val="605E5C"/>
      <w:shd w:val="clear" w:color="auto" w:fill="E1DFDD"/>
    </w:rPr>
  </w:style>
  <w:style w:type="paragraph" w:styleId="Revisjon">
    <w:name w:val="Revision"/>
    <w:hidden/>
    <w:uiPriority w:val="99"/>
    <w:semiHidden/>
    <w:rsid w:val="00C60E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60808">
      <w:bodyDiv w:val="1"/>
      <w:marLeft w:val="0"/>
      <w:marRight w:val="0"/>
      <w:marTop w:val="0"/>
      <w:marBottom w:val="0"/>
      <w:divBdr>
        <w:top w:val="none" w:sz="0" w:space="0" w:color="auto"/>
        <w:left w:val="none" w:sz="0" w:space="0" w:color="auto"/>
        <w:bottom w:val="none" w:sz="0" w:space="0" w:color="auto"/>
        <w:right w:val="none" w:sz="0" w:space="0" w:color="auto"/>
      </w:divBdr>
    </w:div>
    <w:div w:id="1158887091">
      <w:bodyDiv w:val="1"/>
      <w:marLeft w:val="0"/>
      <w:marRight w:val="0"/>
      <w:marTop w:val="0"/>
      <w:marBottom w:val="0"/>
      <w:divBdr>
        <w:top w:val="none" w:sz="0" w:space="0" w:color="auto"/>
        <w:left w:val="none" w:sz="0" w:space="0" w:color="auto"/>
        <w:bottom w:val="none" w:sz="0" w:space="0" w:color="auto"/>
        <w:right w:val="none" w:sz="0" w:space="0" w:color="auto"/>
      </w:divBdr>
    </w:div>
    <w:div w:id="1393044660">
      <w:bodyDiv w:val="1"/>
      <w:marLeft w:val="0"/>
      <w:marRight w:val="0"/>
      <w:marTop w:val="0"/>
      <w:marBottom w:val="0"/>
      <w:divBdr>
        <w:top w:val="none" w:sz="0" w:space="0" w:color="auto"/>
        <w:left w:val="none" w:sz="0" w:space="0" w:color="auto"/>
        <w:bottom w:val="none" w:sz="0" w:space="0" w:color="auto"/>
        <w:right w:val="none" w:sz="0" w:space="0" w:color="auto"/>
      </w:divBdr>
    </w:div>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kkerhet@oslomet.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1 6 " ? > < p r o p e r t i e s   x m l n s = " h t t p : / / w w w . i m a n a g e . c o m / w o r k / x m l s c h e m a " >  
     < d o c u m e n t i d > L e g a l ! 2 1 4 3 3 2 6 . 1 < / d o c u m e n t i d >  
     < s e n d e r i d > B E A T R I C E . I G N A C I U S @ F O Y E N . N O < / s e n d e r i d >  
     < s e n d e r e m a i l > B E A T R I C E . I G N A C I U S @ F O Y E N . N O < / s e n d e r e m a i l >  
     < l a s t m o d i f i e d > 2 0 2 4 - 0 1 - 1 7 T 1 5 : 2 2 : 0 0 . 0 0 0 0 0 0 0 + 0 1 : 0 0 < / l a s t m o d i f i e d >  
     < d a t a b a s e > L e g a l < / d a t a b a s e >  
 < / 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2.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4B1144-8BDC-4C9D-B631-125C3E2BD801}">
  <ds:schemaRefs>
    <ds:schemaRef ds:uri="http://www.imanage.com/work/xmlschema"/>
  </ds:schemaRefs>
</ds:datastoreItem>
</file>

<file path=customXml/itemProps4.xml><?xml version="1.0" encoding="utf-8"?>
<ds:datastoreItem xmlns:ds="http://schemas.openxmlformats.org/officeDocument/2006/customXml" ds:itemID="{8D2EEBD2-87FA-44C8-9085-F8D5A9184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EA1962-D6D0-4EC8-B336-ABD1E4E4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2432</Words>
  <Characters>12894</Characters>
  <Application>Microsoft Office Word</Application>
  <DocSecurity>0</DocSecurity>
  <Lines>107</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Skjæggestad Jacobsen</cp:lastModifiedBy>
  <cp:revision>20</cp:revision>
  <cp:lastPrinted>2014-03-31T17:43:00Z</cp:lastPrinted>
  <dcterms:created xsi:type="dcterms:W3CDTF">2024-03-22T09:51:00Z</dcterms:created>
  <dcterms:modified xsi:type="dcterms:W3CDTF">2024-03-22T10:26:00Z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y fmtid="{D5CDD505-2E9C-101B-9397-08002B2CF9AE}" pid="4" name="PSACClient">
    <vt:lpwstr>45922</vt:lpwstr>
  </property>
  <property fmtid="{D5CDD505-2E9C-101B-9397-08002B2CF9AE}" pid="5" name="PSACMatter">
    <vt:lpwstr>516552</vt:lpwstr>
  </property>
</Properties>
</file>