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8614" w14:textId="77777777" w:rsidR="00602030" w:rsidRDefault="00602030">
      <w:pPr>
        <w:spacing w:before="120"/>
        <w:jc w:val="center"/>
        <w:rPr>
          <w:b/>
          <w:bCs/>
          <w:sz w:val="32"/>
        </w:rPr>
      </w:pPr>
    </w:p>
    <w:p w14:paraId="00E4A3F5" w14:textId="3296B3BC" w:rsidR="00602030" w:rsidRDefault="00701CA2">
      <w:pPr>
        <w:spacing w:before="120"/>
        <w:jc w:val="center"/>
        <w:rPr>
          <w:b/>
          <w:bCs/>
          <w:sz w:val="32"/>
        </w:rPr>
      </w:pPr>
      <w:r>
        <w:rPr>
          <w:b/>
          <w:bCs/>
          <w:noProof/>
          <w:sz w:val="32"/>
        </w:rPr>
        <w:drawing>
          <wp:inline distT="0" distB="0" distL="0" distR="0" wp14:anchorId="6A977934" wp14:editId="4EB93798">
            <wp:extent cx="1146175" cy="80454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6175" cy="804545"/>
                    </a:xfrm>
                    <a:prstGeom prst="rect">
                      <a:avLst/>
                    </a:prstGeom>
                    <a:noFill/>
                  </pic:spPr>
                </pic:pic>
              </a:graphicData>
            </a:graphic>
          </wp:inline>
        </w:drawing>
      </w:r>
    </w:p>
    <w:p w14:paraId="5E7296B0" w14:textId="77777777" w:rsidR="00602030" w:rsidRDefault="00602030">
      <w:pPr>
        <w:spacing w:before="120"/>
        <w:jc w:val="center"/>
        <w:rPr>
          <w:b/>
          <w:bCs/>
          <w:sz w:val="32"/>
        </w:rPr>
      </w:pPr>
    </w:p>
    <w:p w14:paraId="6D0BCFFA" w14:textId="77777777" w:rsidR="00602030" w:rsidRDefault="00602030">
      <w:pPr>
        <w:spacing w:before="120"/>
        <w:jc w:val="center"/>
        <w:rPr>
          <w:b/>
          <w:bCs/>
          <w:sz w:val="32"/>
        </w:rPr>
      </w:pPr>
    </w:p>
    <w:p w14:paraId="7936A0A7" w14:textId="77777777" w:rsidR="00602030" w:rsidRDefault="00602030">
      <w:pPr>
        <w:spacing w:before="120"/>
        <w:jc w:val="center"/>
        <w:rPr>
          <w:b/>
          <w:bCs/>
          <w:sz w:val="32"/>
        </w:rPr>
      </w:pPr>
    </w:p>
    <w:p w14:paraId="538857CC" w14:textId="596FE43A" w:rsidR="005A3848" w:rsidRPr="005E01B5" w:rsidRDefault="00C60EB3" w:rsidP="005E01B5">
      <w:pPr>
        <w:pStyle w:val="Overskrift2"/>
        <w:jc w:val="center"/>
        <w:rPr>
          <w:b w:val="0"/>
        </w:rPr>
      </w:pPr>
      <w:r w:rsidRPr="005E01B5">
        <w:t>D</w:t>
      </w:r>
      <w:r w:rsidR="00F7557B" w:rsidRPr="005E01B5">
        <w:t>atabehandleravtale</w:t>
      </w:r>
    </w:p>
    <w:p w14:paraId="1C99F6A3" w14:textId="77777777" w:rsidR="005A3848" w:rsidRDefault="005A3848">
      <w:pPr>
        <w:spacing w:before="120"/>
        <w:jc w:val="center"/>
      </w:pPr>
    </w:p>
    <w:p w14:paraId="599792B2" w14:textId="77777777" w:rsidR="005A3848" w:rsidRDefault="00F7557B">
      <w:pPr>
        <w:spacing w:before="120"/>
        <w:jc w:val="center"/>
      </w:pPr>
      <w:r>
        <w:t>mellom</w:t>
      </w:r>
    </w:p>
    <w:p w14:paraId="26E39B72" w14:textId="77777777" w:rsidR="005A3848" w:rsidRDefault="005A3848">
      <w:pPr>
        <w:spacing w:before="120"/>
        <w:jc w:val="center"/>
      </w:pPr>
    </w:p>
    <w:p w14:paraId="37B025F4" w14:textId="25DA6B4A" w:rsidR="00570F88" w:rsidRPr="008C64F0" w:rsidRDefault="00C60EB3" w:rsidP="00570F88">
      <w:pPr>
        <w:spacing w:before="120"/>
        <w:jc w:val="center"/>
      </w:pPr>
      <w:r w:rsidRPr="005E01B5">
        <w:rPr>
          <w:highlight w:val="yellow"/>
        </w:rPr>
        <w:t>[</w:t>
      </w:r>
      <w:r w:rsidR="00DC699D" w:rsidRPr="005E01B5">
        <w:rPr>
          <w:highlight w:val="yellow"/>
        </w:rPr>
        <w:t>N</w:t>
      </w:r>
      <w:r w:rsidR="00570F88" w:rsidRPr="005E01B5">
        <w:rPr>
          <w:highlight w:val="yellow"/>
        </w:rPr>
        <w:t xml:space="preserve">avn på </w:t>
      </w:r>
      <w:r w:rsidR="00DC0737" w:rsidRPr="005E01B5">
        <w:rPr>
          <w:highlight w:val="yellow"/>
        </w:rPr>
        <w:t>institusjonen</w:t>
      </w:r>
      <w:r w:rsidRPr="005E01B5">
        <w:rPr>
          <w:highlight w:val="yellow"/>
        </w:rPr>
        <w:t>]</w:t>
      </w:r>
    </w:p>
    <w:p w14:paraId="719FF539" w14:textId="77777777" w:rsidR="00701CA2" w:rsidRDefault="00701CA2" w:rsidP="00570F88">
      <w:pPr>
        <w:spacing w:before="120"/>
        <w:jc w:val="center"/>
        <w:rPr>
          <w:highlight w:val="yellow"/>
        </w:rPr>
      </w:pPr>
      <w:r w:rsidRPr="00044AF6">
        <w:rPr>
          <w:highlight w:val="yellow"/>
        </w:rPr>
        <w:t>[Org. nr.]</w:t>
      </w:r>
    </w:p>
    <w:p w14:paraId="1997A333" w14:textId="19DCEA8E" w:rsidR="005A3848" w:rsidRDefault="005054B7" w:rsidP="00570F88">
      <w:pPr>
        <w:spacing w:before="120"/>
        <w:jc w:val="center"/>
      </w:pPr>
      <w:r w:rsidRPr="005E01B5">
        <w:rPr>
          <w:highlight w:val="yellow"/>
        </w:rPr>
        <w:t>[Adresse]</w:t>
      </w:r>
    </w:p>
    <w:p w14:paraId="541AC8C8" w14:textId="11E200FC" w:rsidR="005054B7" w:rsidRDefault="005054B7" w:rsidP="00570F88">
      <w:pPr>
        <w:spacing w:before="120"/>
        <w:jc w:val="center"/>
      </w:pPr>
    </w:p>
    <w:p w14:paraId="7C0EF806" w14:textId="4B1F07C7" w:rsidR="00032379" w:rsidRDefault="00570F88">
      <w:pPr>
        <w:spacing w:before="120"/>
        <w:jc w:val="center"/>
      </w:pPr>
      <w:r>
        <w:t xml:space="preserve"> </w:t>
      </w:r>
      <w:r w:rsidR="00DF5519">
        <w:t>(</w:t>
      </w:r>
      <w:r w:rsidR="007B3E27">
        <w:t>heretter kalt «B</w:t>
      </w:r>
      <w:r w:rsidR="00032379">
        <w:t>ehandlingsansvarlig</w:t>
      </w:r>
      <w:bookmarkStart w:id="0" w:name="_Hlk153460101"/>
      <w:r w:rsidR="007B3E27">
        <w:t>»</w:t>
      </w:r>
      <w:bookmarkEnd w:id="0"/>
      <w:r w:rsidR="00032379">
        <w:t>)</w:t>
      </w:r>
    </w:p>
    <w:p w14:paraId="3F27A0C5" w14:textId="77777777" w:rsidR="005A3848" w:rsidRDefault="005A3848">
      <w:pPr>
        <w:spacing w:before="120"/>
        <w:jc w:val="center"/>
      </w:pPr>
    </w:p>
    <w:p w14:paraId="6E4F8B64" w14:textId="77777777" w:rsidR="005A3848" w:rsidRDefault="00F7557B">
      <w:pPr>
        <w:spacing w:before="120"/>
        <w:jc w:val="center"/>
      </w:pPr>
      <w:r>
        <w:t>og</w:t>
      </w:r>
    </w:p>
    <w:p w14:paraId="7CA375C2" w14:textId="77777777" w:rsidR="005A3848" w:rsidRDefault="005A3848">
      <w:pPr>
        <w:spacing w:before="120"/>
        <w:jc w:val="center"/>
      </w:pPr>
    </w:p>
    <w:p w14:paraId="25E98C30" w14:textId="6AA11683" w:rsidR="005A3848" w:rsidRPr="008C64F0" w:rsidRDefault="00C60EB3" w:rsidP="00570F88">
      <w:pPr>
        <w:spacing w:before="120"/>
        <w:jc w:val="center"/>
      </w:pPr>
      <w:r w:rsidRPr="005E01B5">
        <w:rPr>
          <w:highlight w:val="yellow"/>
        </w:rPr>
        <w:t>[</w:t>
      </w:r>
      <w:r w:rsidR="00DC699D" w:rsidRPr="005E01B5">
        <w:rPr>
          <w:highlight w:val="yellow"/>
        </w:rPr>
        <w:t>N</w:t>
      </w:r>
      <w:r w:rsidR="00570F88" w:rsidRPr="005E01B5">
        <w:rPr>
          <w:highlight w:val="yellow"/>
        </w:rPr>
        <w:t>avn på tjenesteleverandøren</w:t>
      </w:r>
      <w:r w:rsidRPr="005E01B5">
        <w:rPr>
          <w:highlight w:val="yellow"/>
        </w:rPr>
        <w:t>]</w:t>
      </w:r>
    </w:p>
    <w:p w14:paraId="123DE489" w14:textId="77777777" w:rsidR="00701CA2" w:rsidRDefault="00701CA2">
      <w:pPr>
        <w:spacing w:before="120"/>
        <w:jc w:val="center"/>
        <w:rPr>
          <w:highlight w:val="yellow"/>
        </w:rPr>
      </w:pPr>
      <w:r w:rsidRPr="00E40D37">
        <w:rPr>
          <w:highlight w:val="yellow"/>
        </w:rPr>
        <w:t>[Org. nr.]</w:t>
      </w:r>
      <w:r w:rsidRPr="00701CA2">
        <w:rPr>
          <w:highlight w:val="yellow"/>
        </w:rPr>
        <w:t xml:space="preserve"> </w:t>
      </w:r>
    </w:p>
    <w:p w14:paraId="0BB3D8E5" w14:textId="2E9B28A7" w:rsidR="005A3848" w:rsidRDefault="005054B7">
      <w:pPr>
        <w:spacing w:before="120"/>
        <w:jc w:val="center"/>
      </w:pPr>
      <w:r w:rsidRPr="005E01B5">
        <w:rPr>
          <w:highlight w:val="yellow"/>
        </w:rPr>
        <w:t>[Adresse]</w:t>
      </w:r>
    </w:p>
    <w:p w14:paraId="69C27DD7" w14:textId="36989D56" w:rsidR="005054B7" w:rsidRDefault="005054B7">
      <w:pPr>
        <w:spacing w:before="120"/>
        <w:jc w:val="center"/>
      </w:pPr>
    </w:p>
    <w:p w14:paraId="0D94794C" w14:textId="11735E2C" w:rsidR="005A3848" w:rsidRDefault="00570F88">
      <w:pPr>
        <w:spacing w:before="120"/>
        <w:jc w:val="center"/>
      </w:pPr>
      <w:r>
        <w:t xml:space="preserve"> </w:t>
      </w:r>
      <w:r w:rsidR="001A6273">
        <w:t>(</w:t>
      </w:r>
      <w:r w:rsidR="007B3E27">
        <w:t>heretter kalt «D</w:t>
      </w:r>
      <w:r w:rsidR="00F7557B">
        <w:t>atabehandler</w:t>
      </w:r>
      <w:r w:rsidR="007B3E27">
        <w:t>»</w:t>
      </w:r>
      <w:r w:rsidR="001A6273">
        <w:t>)</w:t>
      </w:r>
    </w:p>
    <w:p w14:paraId="13FE239E" w14:textId="77777777" w:rsidR="005A3848" w:rsidRDefault="005A3848">
      <w:pPr>
        <w:spacing w:before="120"/>
      </w:pPr>
    </w:p>
    <w:p w14:paraId="17A9110F" w14:textId="77777777" w:rsidR="005A3848" w:rsidRPr="00C265BD" w:rsidRDefault="00F7557B" w:rsidP="005E01B5">
      <w:pPr>
        <w:pStyle w:val="Overskrift2"/>
      </w:pPr>
      <w:r>
        <w:br w:type="page"/>
      </w:r>
      <w:bookmarkStart w:id="1" w:name="_Toc231181833"/>
      <w:r w:rsidRPr="00C265BD">
        <w:lastRenderedPageBreak/>
        <w:t>1. Avtalens hensikt</w:t>
      </w:r>
      <w:bookmarkEnd w:id="1"/>
      <w:r w:rsidRPr="00C265BD">
        <w:t xml:space="preserve"> </w:t>
      </w:r>
    </w:p>
    <w:p w14:paraId="4F5B0B4E" w14:textId="77777777" w:rsidR="003A466E" w:rsidRDefault="00C60EB3">
      <w:pPr>
        <w:spacing w:before="120"/>
      </w:pPr>
      <w:r>
        <w:t xml:space="preserve">Partene har inngått </w:t>
      </w:r>
      <w:r w:rsidR="007B3E27">
        <w:t xml:space="preserve">en avtale om levering av tjenester («Hovedavtalen») som innebærer behandling av personopplysninger. </w:t>
      </w:r>
    </w:p>
    <w:p w14:paraId="3E28C0BE" w14:textId="6AAEAA4F" w:rsidR="00DD0BAD" w:rsidRDefault="007B3E27">
      <w:pPr>
        <w:spacing w:before="120"/>
      </w:pPr>
      <w:r>
        <w:t xml:space="preserve">Denne databehandleravtalen («Databehandleravtalen») </w:t>
      </w:r>
      <w:r w:rsidR="00F7557B">
        <w:t>regulere</w:t>
      </w:r>
      <w:r>
        <w:t>r partenes</w:t>
      </w:r>
      <w:r w:rsidR="00F7557B">
        <w:t xml:space="preserve"> rettigheter og plikter </w:t>
      </w:r>
      <w:r>
        <w:t xml:space="preserve">når Databehandleren behandler personopplysninger på vegne av </w:t>
      </w:r>
      <w:r w:rsidR="003A466E">
        <w:t xml:space="preserve">Behandlingsansvarlig. Formålet med Databehandleravtalen er å sikre at personopplysningene behandles i samsvar med </w:t>
      </w:r>
      <w:bookmarkStart w:id="2" w:name="_Hlk152957047"/>
      <w:r w:rsidR="00371489">
        <w:t>forordning 2016/679</w:t>
      </w:r>
      <w:r>
        <w:t>/EU</w:t>
      </w:r>
      <w:r w:rsidR="00371489">
        <w:t xml:space="preserve"> </w:t>
      </w:r>
      <w:bookmarkEnd w:id="2"/>
      <w:r>
        <w:t>(«GDPR»)</w:t>
      </w:r>
      <w:r w:rsidR="003A466E">
        <w:t xml:space="preserve"> og annen gjeldende personvernlovgivning</w:t>
      </w:r>
      <w:r w:rsidR="00F7557B">
        <w:t xml:space="preserve">. </w:t>
      </w:r>
    </w:p>
    <w:p w14:paraId="55B75474" w14:textId="7CC70C9D" w:rsidR="00C07EE1" w:rsidRDefault="00FA7F37">
      <w:pPr>
        <w:spacing w:before="120"/>
      </w:pPr>
      <w:bookmarkStart w:id="3" w:name="_Hlk152957378"/>
      <w:r>
        <w:t>Ved motstrid skal v</w:t>
      </w:r>
      <w:r w:rsidR="00C07EE1">
        <w:t xml:space="preserve">ilkårene i denne </w:t>
      </w:r>
      <w:r w:rsidR="003A466E">
        <w:t>Databehandler</w:t>
      </w:r>
      <w:r w:rsidR="00C07EE1">
        <w:t xml:space="preserve">avtalen gå foran </w:t>
      </w:r>
      <w:r w:rsidR="003A466E">
        <w:t>Databehandler</w:t>
      </w:r>
      <w:r w:rsidR="005054B7">
        <w:t>en</w:t>
      </w:r>
      <w:r w:rsidR="003A466E">
        <w:t xml:space="preserve">s </w:t>
      </w:r>
      <w:r w:rsidR="00C07EE1">
        <w:t xml:space="preserve">personvernerklæring eller vilkår i </w:t>
      </w:r>
      <w:r w:rsidR="003A466E">
        <w:t>Hovedavtalen</w:t>
      </w:r>
      <w:r w:rsidR="00C07EE1">
        <w:t xml:space="preserve"> inngått mellom </w:t>
      </w:r>
      <w:r w:rsidR="003A466E">
        <w:t xml:space="preserve">Behandlingsansvarlig </w:t>
      </w:r>
      <w:r w:rsidR="00C07EE1">
        <w:t xml:space="preserve">og </w:t>
      </w:r>
      <w:r w:rsidR="003A466E">
        <w:t>Databehandler</w:t>
      </w:r>
      <w:r w:rsidR="005054B7">
        <w:t>en</w:t>
      </w:r>
      <w:r w:rsidR="00C07EE1">
        <w:t>.</w:t>
      </w:r>
      <w:bookmarkEnd w:id="3"/>
    </w:p>
    <w:p w14:paraId="49E1B36E" w14:textId="77777777" w:rsidR="001E0D63" w:rsidRDefault="001E0D63">
      <w:pPr>
        <w:spacing w:before="120"/>
      </w:pPr>
    </w:p>
    <w:p w14:paraId="3D35A6DA" w14:textId="0295EAFD" w:rsidR="009069FE" w:rsidRPr="00F66BC7" w:rsidRDefault="009069FE" w:rsidP="005E01B5">
      <w:pPr>
        <w:pStyle w:val="Overskrift2"/>
      </w:pPr>
      <w:bookmarkStart w:id="4" w:name="_Toc231181834"/>
      <w:r>
        <w:t>2</w:t>
      </w:r>
      <w:r w:rsidRPr="00F66BC7">
        <w:t>. Formålsbegrensning</w:t>
      </w:r>
    </w:p>
    <w:p w14:paraId="1723A2F4" w14:textId="0C61C5B2" w:rsidR="0080314E" w:rsidRDefault="009069FE" w:rsidP="009069FE">
      <w:pPr>
        <w:spacing w:before="120"/>
      </w:pPr>
      <w:bookmarkStart w:id="5" w:name="_Hlk152957687"/>
      <w:r>
        <w:t xml:space="preserve">Formålet med </w:t>
      </w:r>
      <w:r w:rsidR="003A466E">
        <w:t>Databehandler</w:t>
      </w:r>
      <w:r w:rsidR="001A77A4">
        <w:t>en</w:t>
      </w:r>
      <w:r w:rsidR="003A466E">
        <w:t xml:space="preserve">s behandling </w:t>
      </w:r>
      <w:r>
        <w:t xml:space="preserve">av personopplysninger på vegne av </w:t>
      </w:r>
      <w:r w:rsidR="003A466E">
        <w:t>Behandlingsansvarlig</w:t>
      </w:r>
      <w:r>
        <w:t xml:space="preserve"> er å levere og administrere</w:t>
      </w:r>
      <w:r w:rsidR="003A466E">
        <w:t xml:space="preserve"> tjenester som beskrevet i Hovedavtalen</w:t>
      </w:r>
      <w:r>
        <w:t>.</w:t>
      </w:r>
      <w:r w:rsidR="003A466E">
        <w:t xml:space="preserve"> En nærmere beskrivelse av formålet med behandlingen følger av Vedlegg 1. </w:t>
      </w:r>
      <w:bookmarkEnd w:id="5"/>
      <w:r w:rsidR="003A466E">
        <w:t>D</w:t>
      </w:r>
      <w:r>
        <w:t>atabehandler</w:t>
      </w:r>
      <w:r w:rsidR="003A466E">
        <w:t>en kan ikke behandle personopplysningene for</w:t>
      </w:r>
      <w:r>
        <w:t xml:space="preserve"> andre formål uten at dette på forhånd er </w:t>
      </w:r>
      <w:r w:rsidR="00AA0872">
        <w:t xml:space="preserve">skriftlig </w:t>
      </w:r>
      <w:r>
        <w:t xml:space="preserve">godkjent av </w:t>
      </w:r>
      <w:r w:rsidR="003A466E">
        <w:t>Behandlingsansvarlig</w:t>
      </w:r>
      <w:r>
        <w:t>.</w:t>
      </w:r>
    </w:p>
    <w:p w14:paraId="076D2541" w14:textId="77777777" w:rsidR="009069FE" w:rsidRPr="009069FE" w:rsidRDefault="009069FE" w:rsidP="009069FE">
      <w:pPr>
        <w:rPr>
          <w:lang w:eastAsia="en-US"/>
        </w:rPr>
      </w:pPr>
    </w:p>
    <w:p w14:paraId="2D3E451A" w14:textId="36248ECE" w:rsidR="00E00B4E" w:rsidRPr="00430134" w:rsidRDefault="00FC2580" w:rsidP="00E00B4E">
      <w:pPr>
        <w:pStyle w:val="Overskrift2"/>
      </w:pPr>
      <w:r>
        <w:t>3</w:t>
      </w:r>
      <w:r w:rsidR="00E00B4E">
        <w:t>. O</w:t>
      </w:r>
      <w:r w:rsidR="00E00B4E" w:rsidRPr="00430134">
        <w:t>pplysning</w:t>
      </w:r>
      <w:r w:rsidR="00E00B4E">
        <w:t>styper og kategorier av registrerte</w:t>
      </w:r>
      <w:r w:rsidR="00E00B4E" w:rsidRPr="00430134">
        <w:t xml:space="preserve"> </w:t>
      </w:r>
    </w:p>
    <w:p w14:paraId="62B61C38" w14:textId="6FABD904" w:rsidR="00E00B4E" w:rsidRDefault="00E00B4E">
      <w:pPr>
        <w:spacing w:before="120"/>
      </w:pPr>
      <w:bookmarkStart w:id="6" w:name="_Hlk152957775"/>
      <w:r>
        <w:t>En oversikt over hvilke typer personopplysninger og hvilke kategorier av registrerte som Databehandleren behandler på vegne av Behandlingsansvarlig under denne Databehandleravtalen følger av Vedlegg 1.</w:t>
      </w:r>
      <w:bookmarkEnd w:id="6"/>
    </w:p>
    <w:p w14:paraId="2EB158C7" w14:textId="77777777" w:rsidR="005054B7" w:rsidRDefault="005054B7" w:rsidP="005E01B5">
      <w:pPr>
        <w:spacing w:before="120"/>
      </w:pPr>
    </w:p>
    <w:p w14:paraId="0ACF5DFF" w14:textId="40C37843" w:rsidR="005A3848" w:rsidRPr="00F66BC7" w:rsidRDefault="00FC2580" w:rsidP="005E01B5">
      <w:pPr>
        <w:pStyle w:val="Overskrift2"/>
      </w:pPr>
      <w:r>
        <w:t>4</w:t>
      </w:r>
      <w:r w:rsidR="00F7557B" w:rsidRPr="00F66BC7">
        <w:t xml:space="preserve">. </w:t>
      </w:r>
      <w:r w:rsidR="00F66BC7" w:rsidRPr="005E01B5">
        <w:t>Instrukser</w:t>
      </w:r>
      <w:bookmarkEnd w:id="4"/>
    </w:p>
    <w:p w14:paraId="25D8C679" w14:textId="2F409FEB" w:rsidR="001A77A4" w:rsidRDefault="001C4819">
      <w:pPr>
        <w:spacing w:before="120"/>
      </w:pPr>
      <w:r>
        <w:t>Databehandler</w:t>
      </w:r>
      <w:r w:rsidR="005054B7">
        <w:t>en</w:t>
      </w:r>
      <w:r>
        <w:t xml:space="preserve"> skal</w:t>
      </w:r>
      <w:r w:rsidR="001A77A4">
        <w:t xml:space="preserve"> bare behandle personopplysninger i henhold til dokumenterte instrukser fra Behandlingsansvarlig</w:t>
      </w:r>
      <w:r>
        <w:t>.</w:t>
      </w:r>
      <w:r w:rsidR="001A77A4">
        <w:t xml:space="preserve"> </w:t>
      </w:r>
      <w:r w:rsidR="00B74D75">
        <w:t>Detaljerte instrukser til databehandler beskrives i vedlegg 1.</w:t>
      </w:r>
    </w:p>
    <w:p w14:paraId="4E167225" w14:textId="6BB5E168" w:rsidR="00430134" w:rsidRDefault="001A77A4">
      <w:pPr>
        <w:spacing w:before="120"/>
      </w:pPr>
      <w:r>
        <w:t xml:space="preserve">Dette gjelder også med </w:t>
      </w:r>
      <w:r w:rsidRPr="001A77A4">
        <w:t xml:space="preserve">hensyn til overføring av personopplysninger til en tredjestat eller en internasjonal organisasjon, med mindre det kreves i henhold til unionsretten eller medlemsstatenes nasjonale rett som </w:t>
      </w:r>
      <w:r>
        <w:t>D</w:t>
      </w:r>
      <w:r w:rsidRPr="001A77A4">
        <w:t>atabehandleren er underlagt</w:t>
      </w:r>
      <w:r>
        <w:t>. I</w:t>
      </w:r>
      <w:r w:rsidRPr="001A77A4">
        <w:t xml:space="preserve"> så fall skal </w:t>
      </w:r>
      <w:r>
        <w:t>D</w:t>
      </w:r>
      <w:r w:rsidRPr="001A77A4">
        <w:t xml:space="preserve">atabehandleren underrette den </w:t>
      </w:r>
      <w:r>
        <w:t>B</w:t>
      </w:r>
      <w:r w:rsidRPr="001A77A4">
        <w:t>ehandlingsansvarlige om nevnte rettslige krav før behandlingen, men mindre denne rett av hensyn til viktige allmenne interesser forbyr en slik underretning</w:t>
      </w:r>
      <w:r>
        <w:t>.</w:t>
      </w:r>
    </w:p>
    <w:p w14:paraId="2258BFC1" w14:textId="3EC6C16C" w:rsidR="001A77A4" w:rsidRDefault="001A77A4">
      <w:pPr>
        <w:spacing w:before="120"/>
      </w:pPr>
      <w:r w:rsidRPr="001A77A4">
        <w:t xml:space="preserve">Databehandleren skal </w:t>
      </w:r>
      <w:bookmarkStart w:id="7" w:name="_Hlk152958162"/>
      <w:r w:rsidRPr="001A77A4">
        <w:t>overholde alle bestemmelser i denne Databehandleravtalen, i GDPR og annen gjeldende personvernlovgivning.</w:t>
      </w:r>
      <w:r w:rsidRPr="001A77A4" w:rsidDel="001A77A4">
        <w:t xml:space="preserve"> </w:t>
      </w:r>
      <w:bookmarkEnd w:id="7"/>
    </w:p>
    <w:p w14:paraId="0BBC237E" w14:textId="2ADE4E45" w:rsidR="00430134" w:rsidRDefault="00F66BC7">
      <w:pPr>
        <w:spacing w:before="120"/>
      </w:pPr>
      <w:r>
        <w:t>Databehandler</w:t>
      </w:r>
      <w:r w:rsidR="001A77A4">
        <w:t>en</w:t>
      </w:r>
      <w:r>
        <w:t xml:space="preserve"> forplikter seg til å varsle </w:t>
      </w:r>
      <w:r w:rsidR="001A77A4">
        <w:t xml:space="preserve">Behandlingsansvarlig omgående </w:t>
      </w:r>
      <w:r>
        <w:t xml:space="preserve">dersom </w:t>
      </w:r>
      <w:r w:rsidR="001A77A4">
        <w:t xml:space="preserve">Databehandleren mener at </w:t>
      </w:r>
      <w:r>
        <w:t>motta</w:t>
      </w:r>
      <w:r w:rsidR="001A77A4">
        <w:t>tte</w:t>
      </w:r>
      <w:r>
        <w:t xml:space="preserve"> instrukser e</w:t>
      </w:r>
      <w:r w:rsidR="00E703CD">
        <w:t xml:space="preserve">r i strid med </w:t>
      </w:r>
      <w:r w:rsidR="001A77A4">
        <w:t>GDPR eller annen gjeldende personvern</w:t>
      </w:r>
      <w:r w:rsidR="009069FE">
        <w:t>lovgivning</w:t>
      </w:r>
      <w:r>
        <w:t>.</w:t>
      </w:r>
    </w:p>
    <w:p w14:paraId="14F21ED5" w14:textId="77777777" w:rsidR="00C265BD" w:rsidRDefault="00C265BD">
      <w:pPr>
        <w:spacing w:before="120"/>
      </w:pPr>
    </w:p>
    <w:p w14:paraId="66195EFE" w14:textId="4D7E4AA8" w:rsidR="00E00B4E" w:rsidRPr="00A056C0" w:rsidRDefault="00FC2580" w:rsidP="00E00B4E">
      <w:pPr>
        <w:pStyle w:val="Overskrift2"/>
      </w:pPr>
      <w:bookmarkStart w:id="8" w:name="_Toc231181835"/>
      <w:r>
        <w:t>5</w:t>
      </w:r>
      <w:r w:rsidR="00E00B4E" w:rsidRPr="00A056C0">
        <w:t>. Taushetsplikt</w:t>
      </w:r>
    </w:p>
    <w:p w14:paraId="765E2AB6" w14:textId="77777777" w:rsidR="00E00B4E" w:rsidRDefault="00E00B4E" w:rsidP="00E00B4E">
      <w:pPr>
        <w:spacing w:before="120"/>
      </w:pPr>
      <w:r>
        <w:t xml:space="preserve">Kun ansatte eller andre personer hos Databehandleren som har tjenstlige behov for tilgang til personopplysninger som behandles på vegne av Behandlingsansvarlig, kan gis slik tilgang. </w:t>
      </w:r>
    </w:p>
    <w:p w14:paraId="15996C4D" w14:textId="77777777" w:rsidR="00E00B4E" w:rsidRDefault="00E00B4E" w:rsidP="00E00B4E">
      <w:pPr>
        <w:spacing w:before="120"/>
      </w:pPr>
      <w:r>
        <w:lastRenderedPageBreak/>
        <w:t xml:space="preserve">Databehandleren skal sikre at slike ansatte eller andre personer som er autorisert til å behandle personopplysningene er underlagt taushetsplikt om dokumentasjon og personopplysninger som vedkommende får tilgang til i henhold til denne Databehandleravtalen. Denne bestemmelsen gjelder også etter avtalens opphør. Taushetsplikten omfatter ansatte hos tredjeparter som utfører vedlikehold (eller liknende oppgaver) av systemer, utstyr, nettverk eller bygninger som Databehandleren anvender for å levere eller administrere tjenesten etter Hovedavtalen. </w:t>
      </w:r>
    </w:p>
    <w:p w14:paraId="39DC73E8" w14:textId="77777777" w:rsidR="00E00B4E" w:rsidRDefault="00E00B4E" w:rsidP="00E00B4E">
      <w:pPr>
        <w:spacing w:before="120"/>
      </w:pPr>
    </w:p>
    <w:p w14:paraId="59FD2B18" w14:textId="77777777" w:rsidR="00E00B4E" w:rsidRPr="00284714" w:rsidRDefault="00E00B4E" w:rsidP="00E00B4E">
      <w:pPr>
        <w:pStyle w:val="Overskrift2"/>
      </w:pPr>
      <w:r w:rsidRPr="00284714">
        <w:t xml:space="preserve">6. </w:t>
      </w:r>
      <w:r>
        <w:t>I</w:t>
      </w:r>
      <w:r w:rsidRPr="00284714">
        <w:t>nformasjonssikkerhet</w:t>
      </w:r>
    </w:p>
    <w:p w14:paraId="606B1C6C" w14:textId="47821B4E" w:rsidR="00E00B4E" w:rsidRDefault="00E00B4E" w:rsidP="00E00B4E">
      <w:pPr>
        <w:spacing w:before="120"/>
      </w:pPr>
      <w:r>
        <w:t xml:space="preserve">Databehandleren skal </w:t>
      </w:r>
      <w:bookmarkStart w:id="9" w:name="_Hlk152958339"/>
      <w:r>
        <w:t xml:space="preserve">gjennomføre egnede tekniske, fysiske og organisatoriske sikringstiltak for å oppnå et sikkerhetsnivå som er egnet med hensyn til risikoen, </w:t>
      </w:r>
      <w:bookmarkStart w:id="10" w:name="_Hlk153462705"/>
      <w:r>
        <w:t xml:space="preserve">blant annet for å beskytte personopplysninger som omfattes av denne Databehandleravtalen mot </w:t>
      </w:r>
      <w:bookmarkStart w:id="11" w:name="_Hlk153201343"/>
      <w:r>
        <w:t>uautorisert eller ulovlig tilgang, endring, sletting, skade, tap eller utilgjengelighet</w:t>
      </w:r>
      <w:bookmarkEnd w:id="10"/>
      <w:bookmarkEnd w:id="11"/>
      <w:r>
        <w:t xml:space="preserve">. Databehandleren skal treffe alle tiltak som er nødvendige i henhold til GDPR artikkel 32, </w:t>
      </w:r>
      <w:bookmarkEnd w:id="9"/>
      <w:r>
        <w:t>samt bistå Behandlingsansvarlig med å sikre overholdelse av sine forpliktelser etter denne</w:t>
      </w:r>
      <w:r w:rsidR="005054B7">
        <w:t xml:space="preserve"> bestemmelsen</w:t>
      </w:r>
      <w:r>
        <w:t>.</w:t>
      </w:r>
      <w:r w:rsidR="003F2841">
        <w:t xml:space="preserve"> Sikkerhetstiltak listes opp i Vedlegg. 1.</w:t>
      </w:r>
    </w:p>
    <w:p w14:paraId="082E39DF" w14:textId="7228B03C" w:rsidR="00E00B4E" w:rsidRDefault="00FB2ABB" w:rsidP="00E00B4E">
      <w:pPr>
        <w:spacing w:before="120"/>
      </w:pPr>
      <w:bookmarkStart w:id="12" w:name="_Hlk153463359"/>
      <w:r>
        <w:t xml:space="preserve">Som et minimum skal Databehandleren </w:t>
      </w:r>
      <w:r w:rsidR="00590C4B">
        <w:t xml:space="preserve">foreta risikovurderinger og etablere tiltak for å </w:t>
      </w:r>
      <w:proofErr w:type="spellStart"/>
      <w:r w:rsidR="00590C4B">
        <w:t>mitigere</w:t>
      </w:r>
      <w:proofErr w:type="spellEnd"/>
      <w:r w:rsidR="00590C4B">
        <w:t xml:space="preserve"> risiko, </w:t>
      </w:r>
      <w:r>
        <w:t>etablere beredskapsplaner for effektiv håndtering av alvorlige sikkerhetshendelser</w:t>
      </w:r>
      <w:r w:rsidR="00590C4B">
        <w:t xml:space="preserve"> og</w:t>
      </w:r>
      <w:r>
        <w:t xml:space="preserve"> gi ansatte informasjon og opplæring i informasjonssikkerhet</w:t>
      </w:r>
      <w:r w:rsidR="00590C4B">
        <w:t>. Databehandleren skal også</w:t>
      </w:r>
      <w:r>
        <w:t xml:space="preserve"> </w:t>
      </w:r>
      <w:r w:rsidR="00E00B4E" w:rsidRPr="00F75AFC">
        <w:t xml:space="preserve">gjennomføre </w:t>
      </w:r>
      <w:r w:rsidRPr="00F75AFC">
        <w:t>jevnlig</w:t>
      </w:r>
      <w:r>
        <w:t>e</w:t>
      </w:r>
      <w:r w:rsidRPr="00F75AFC">
        <w:t xml:space="preserve"> </w:t>
      </w:r>
      <w:r w:rsidR="00E00B4E" w:rsidRPr="00F75AFC">
        <w:t>sikkerhetsrevisjoner av eget arbeid med sikring av personopplysninger</w:t>
      </w:r>
      <w:r w:rsidR="007C073C">
        <w:t xml:space="preserve">, </w:t>
      </w:r>
      <w:bookmarkStart w:id="13" w:name="_Hlk153201410"/>
      <w:r w:rsidR="007C073C">
        <w:t xml:space="preserve">systemer og lignende som er relevant for behandlingen av personopplysninger knyttet til </w:t>
      </w:r>
      <w:r w:rsidR="00E00B4E" w:rsidRPr="00F75AFC">
        <w:t xml:space="preserve">tjenesten som leveres under Hovedavtalen. </w:t>
      </w:r>
      <w:bookmarkEnd w:id="13"/>
    </w:p>
    <w:bookmarkEnd w:id="12"/>
    <w:p w14:paraId="706EE34B" w14:textId="77777777" w:rsidR="00E00B4E" w:rsidRDefault="00E00B4E" w:rsidP="00E00B4E">
      <w:pPr>
        <w:spacing w:before="120"/>
      </w:pPr>
    </w:p>
    <w:p w14:paraId="1F8E0950" w14:textId="2CF6B79E" w:rsidR="005A3848" w:rsidRPr="00C265BD" w:rsidRDefault="00FC2580" w:rsidP="005E01B5">
      <w:pPr>
        <w:pStyle w:val="Overskrift2"/>
      </w:pPr>
      <w:r>
        <w:t>7</w:t>
      </w:r>
      <w:r w:rsidR="00F7557B" w:rsidRPr="00C265BD">
        <w:t>. D</w:t>
      </w:r>
      <w:r w:rsidR="00C265BD">
        <w:t xml:space="preserve">e </w:t>
      </w:r>
      <w:r w:rsidR="00C265BD" w:rsidRPr="005E01B5">
        <w:t>registrertes</w:t>
      </w:r>
      <w:r w:rsidR="00C265BD">
        <w:t xml:space="preserve"> rettigheter</w:t>
      </w:r>
      <w:bookmarkEnd w:id="8"/>
    </w:p>
    <w:p w14:paraId="06DC7E2B" w14:textId="5CE03C53" w:rsidR="00F66BC7" w:rsidRDefault="00BF3BDA">
      <w:pPr>
        <w:spacing w:before="120"/>
      </w:pPr>
      <w:r>
        <w:t>Databehandler</w:t>
      </w:r>
      <w:r w:rsidR="004362BD">
        <w:t>en</w:t>
      </w:r>
      <w:r>
        <w:t xml:space="preserve"> </w:t>
      </w:r>
      <w:r w:rsidR="00E72F6B">
        <w:t xml:space="preserve">skal i den grad det er mulig med hensyn til behandlingens art og ved hjelp av egnede tekniske og organisatoriske tiltak </w:t>
      </w:r>
      <w:r>
        <w:t xml:space="preserve">bistå </w:t>
      </w:r>
      <w:r w:rsidR="004362BD">
        <w:t xml:space="preserve">Behandlingsansvarlig </w:t>
      </w:r>
      <w:r w:rsidR="00E72F6B">
        <w:t>med å svare på henvendelser fra de registrerte om utøvelse av deres rettigheter.</w:t>
      </w:r>
      <w:r w:rsidR="009069FE">
        <w:t xml:space="preserve"> </w:t>
      </w:r>
      <w:r w:rsidR="001C4819">
        <w:t xml:space="preserve"> </w:t>
      </w:r>
    </w:p>
    <w:p w14:paraId="27DFC6CC" w14:textId="21772727" w:rsidR="00C265BD" w:rsidRDefault="001C4819">
      <w:pPr>
        <w:spacing w:before="120"/>
      </w:pPr>
      <w:r>
        <w:t>De</w:t>
      </w:r>
      <w:r w:rsidR="00F66BC7">
        <w:t xml:space="preserve"> registrertes rettigheter </w:t>
      </w:r>
      <w:r>
        <w:t>inklude</w:t>
      </w:r>
      <w:r w:rsidR="00F66BC7">
        <w:t xml:space="preserve">rer </w:t>
      </w:r>
      <w:r>
        <w:t>retten til informasjon</w:t>
      </w:r>
      <w:r w:rsidR="00F66BC7">
        <w:t xml:space="preserve"> om </w:t>
      </w:r>
      <w:r w:rsidR="00E703CD">
        <w:t xml:space="preserve">hvordan hans eller hennes personopplysninger </w:t>
      </w:r>
      <w:r w:rsidR="00F66BC7">
        <w:t>behandl</w:t>
      </w:r>
      <w:r w:rsidR="00E703CD">
        <w:t>es</w:t>
      </w:r>
      <w:r w:rsidR="000A081D">
        <w:t xml:space="preserve">, </w:t>
      </w:r>
      <w:r>
        <w:t>retten til å kreve innsyn i</w:t>
      </w:r>
      <w:r w:rsidR="000A081D">
        <w:t xml:space="preserve"> egne personopplysninger</w:t>
      </w:r>
      <w:r>
        <w:t xml:space="preserve">, </w:t>
      </w:r>
      <w:r w:rsidR="000A081D">
        <w:t xml:space="preserve">retten til å kreve </w:t>
      </w:r>
      <w:r>
        <w:t>retting eller sletting av egne personopplysninger</w:t>
      </w:r>
      <w:r w:rsidR="00E72F6B">
        <w:t>, retten til å protestere</w:t>
      </w:r>
      <w:r w:rsidR="000A081D">
        <w:t xml:space="preserve"> </w:t>
      </w:r>
      <w:r w:rsidR="00E72F6B">
        <w:t xml:space="preserve">mot behandlingen </w:t>
      </w:r>
      <w:r w:rsidR="000A081D">
        <w:t xml:space="preserve">og </w:t>
      </w:r>
      <w:r>
        <w:t>retten til å kreve at behandlingen av egne personopplysninger begrenses</w:t>
      </w:r>
      <w:r w:rsidR="00F66BC7">
        <w:t xml:space="preserve">. </w:t>
      </w:r>
    </w:p>
    <w:p w14:paraId="06743EC6" w14:textId="0B101045" w:rsidR="00B70151" w:rsidRDefault="00F66BC7">
      <w:pPr>
        <w:spacing w:before="120"/>
      </w:pPr>
      <w:r>
        <w:t xml:space="preserve">I den grad det er relevant, </w:t>
      </w:r>
      <w:r w:rsidR="003A68C6">
        <w:t xml:space="preserve">skal </w:t>
      </w:r>
      <w:r w:rsidR="00E72F6B">
        <w:t xml:space="preserve">Databehandleren </w:t>
      </w:r>
      <w:r w:rsidR="00A056C0">
        <w:t xml:space="preserve">bistå </w:t>
      </w:r>
      <w:r w:rsidR="00E72F6B">
        <w:t xml:space="preserve">Behandlingsansvarlig </w:t>
      </w:r>
      <w:r w:rsidR="00A056C0">
        <w:t xml:space="preserve">med å ivareta de registrertes </w:t>
      </w:r>
      <w:r w:rsidR="001C4819">
        <w:t xml:space="preserve">rett til </w:t>
      </w:r>
      <w:r>
        <w:t xml:space="preserve">dataportabilitet og retten til </w:t>
      </w:r>
      <w:r w:rsidR="001C4819">
        <w:t xml:space="preserve">å motsette seg </w:t>
      </w:r>
      <w:r>
        <w:t>automatiske avgjørelser</w:t>
      </w:r>
      <w:r w:rsidR="009F5A71">
        <w:t>, inkludert profilering</w:t>
      </w:r>
      <w:r w:rsidR="001C4819">
        <w:t>.</w:t>
      </w:r>
    </w:p>
    <w:p w14:paraId="49CA48EE" w14:textId="77777777" w:rsidR="00284714" w:rsidRDefault="00284714">
      <w:pPr>
        <w:spacing w:before="120"/>
      </w:pPr>
    </w:p>
    <w:p w14:paraId="692B6967" w14:textId="7EBCCB7C" w:rsidR="00E00B4E" w:rsidRPr="009C7B56" w:rsidRDefault="00FC2580" w:rsidP="00E00B4E">
      <w:pPr>
        <w:pStyle w:val="Overskrift2"/>
      </w:pPr>
      <w:r>
        <w:t>8</w:t>
      </w:r>
      <w:r w:rsidR="00E00B4E" w:rsidRPr="009C7B56">
        <w:t>. Varsling ved sikkerhetsbrudd</w:t>
      </w:r>
    </w:p>
    <w:p w14:paraId="227F3598" w14:textId="3A80F0AC" w:rsidR="00E00B4E" w:rsidRDefault="00E00B4E" w:rsidP="00E00B4E">
      <w:pPr>
        <w:spacing w:before="120"/>
      </w:pPr>
      <w:r>
        <w:t xml:space="preserve">Databehandleren skal bistå Behandlingsansvarlig med å overholde sine varslingsforpliktelser i </w:t>
      </w:r>
      <w:r w:rsidR="007B0130">
        <w:t xml:space="preserve">henhold til </w:t>
      </w:r>
      <w:r>
        <w:t xml:space="preserve">GDPR artikkel 33 og 34. </w:t>
      </w:r>
    </w:p>
    <w:p w14:paraId="0537BEFF" w14:textId="294F506F" w:rsidR="00E00B4E" w:rsidRDefault="00E00B4E" w:rsidP="00E00B4E">
      <w:pPr>
        <w:spacing w:before="120"/>
      </w:pPr>
      <w:r>
        <w:t xml:space="preserve">Dersom personopplysninger som behandles på vegne av Behandlingsansvarlig utsettes for sikkerhetsbrudd som innebærer risiko for de registrertes rettigheter og friheter, skal Databehandleren uten ubegrunnet opphold </w:t>
      </w:r>
      <w:r w:rsidR="0084007F">
        <w:t xml:space="preserve">og senest innen 36 timer </w:t>
      </w:r>
      <w:r>
        <w:t xml:space="preserve">varsle Behandlingsansvarlig ved å sende e-epost til </w:t>
      </w:r>
      <w:hyperlink r:id="rId13" w:history="1">
        <w:r w:rsidRPr="000A52BF">
          <w:rPr>
            <w:rStyle w:val="Hyperkobling"/>
          </w:rPr>
          <w:t>sikkerhet@oslomet.no</w:t>
        </w:r>
      </w:hyperlink>
      <w:r>
        <w:t xml:space="preserve">. </w:t>
      </w:r>
    </w:p>
    <w:p w14:paraId="46A6E7A5" w14:textId="377C6CB4" w:rsidR="00E00B4E" w:rsidRDefault="00E00B4E" w:rsidP="00E00B4E">
      <w:pPr>
        <w:spacing w:before="120"/>
      </w:pPr>
      <w:r>
        <w:t>Vars</w:t>
      </w:r>
      <w:r w:rsidR="007B0130">
        <w:t>e</w:t>
      </w:r>
      <w:r>
        <w:t xml:space="preserve">let til Behandlingsansvarlig skal som minimum inneholde informasjon som beskriver sikkerhetsbruddet, hvilke registrerte som er berørt av sikkerhetsbruddet, hvilke </w:t>
      </w:r>
      <w:r>
        <w:lastRenderedPageBreak/>
        <w:t>personopplysninger som er berørt av sikkerhetsbruddet, hvilke strakstiltak som er iverksatt for å håndtere sikkerhetsbruddet og hvilke forebyggende tiltak som eventuelt er etablert for å unngå liknende hendelser i fremtiden.</w:t>
      </w:r>
    </w:p>
    <w:p w14:paraId="0C1188D3" w14:textId="77777777" w:rsidR="00E00B4E" w:rsidRDefault="00E00B4E" w:rsidP="00E00B4E">
      <w:pPr>
        <w:spacing w:before="120"/>
      </w:pPr>
      <w:r>
        <w:t>Behandlingsansvarlig er ansvarlig for at varsler om sikkerhetsbrudd fra Databehandleren blir videreformidlet til Datatilsynet og for at de registrerte underrettes om sikkerhetsbruddet dersom Behandlingsansvarlig finner at det vil medføre en høy risiko for de registrertes rettigheter og friheter.</w:t>
      </w:r>
    </w:p>
    <w:p w14:paraId="17BABF00" w14:textId="77777777" w:rsidR="00E00B4E" w:rsidRDefault="00E00B4E" w:rsidP="00E00B4E">
      <w:pPr>
        <w:spacing w:before="120"/>
      </w:pPr>
    </w:p>
    <w:p w14:paraId="2B75D0D3" w14:textId="1DDC0593" w:rsidR="00E00B4E" w:rsidRPr="00226945" w:rsidRDefault="00FC2580" w:rsidP="00E00B4E">
      <w:pPr>
        <w:pStyle w:val="Overskrift2"/>
      </w:pPr>
      <w:r>
        <w:t>9</w:t>
      </w:r>
      <w:r w:rsidR="00E00B4E" w:rsidRPr="00226945">
        <w:t xml:space="preserve">. </w:t>
      </w:r>
      <w:r w:rsidR="00E00B4E">
        <w:t>K</w:t>
      </w:r>
      <w:r w:rsidR="00E00B4E" w:rsidRPr="00226945">
        <w:t>onsekvensutredninger</w:t>
      </w:r>
    </w:p>
    <w:p w14:paraId="61D903D8" w14:textId="77777777" w:rsidR="00E00B4E" w:rsidRDefault="00E00B4E" w:rsidP="00E00B4E">
      <w:pPr>
        <w:spacing w:before="120"/>
      </w:pPr>
      <w:r>
        <w:t>Databehandleren skal bistå Behandlingsansvarlig med å sikre overholdelse av sine forpliktelser i henhold til GDPR artikkel 35 og 36. Dersom det etter Behandlingsansvarliges oppfatning er nødvendig å foreta en vurdering av personvernkonsekvenser etter GDPR artikkel 35, skal Databehandleren bistå Behandlingsansvarlig med denne vurderingen og om nødvendig iverksetting av personvernfremmende tiltak dersom konsekvensutredningen viser at dette er nødvendig. Dersom det etter vurderingen av personvernkonsekvenser er nødvendig å gjennomføre en forhåndsdrøfting med Datatilsynet etter GDPR artikkel 36, skal Databehandleren bistå Behandlingsansvarlig med disse drøftelsene.</w:t>
      </w:r>
    </w:p>
    <w:p w14:paraId="5D756376" w14:textId="77777777" w:rsidR="00E00B4E" w:rsidRDefault="00E00B4E" w:rsidP="00E00B4E">
      <w:pPr>
        <w:spacing w:before="120"/>
      </w:pPr>
    </w:p>
    <w:p w14:paraId="24563ECC" w14:textId="5028474A" w:rsidR="00A056C0" w:rsidRPr="00A056C0" w:rsidRDefault="00FC2580" w:rsidP="005E01B5">
      <w:pPr>
        <w:pStyle w:val="Overskrift2"/>
      </w:pPr>
      <w:r>
        <w:t>10</w:t>
      </w:r>
      <w:r w:rsidR="00A056C0" w:rsidRPr="00A056C0">
        <w:t xml:space="preserve">. </w:t>
      </w:r>
      <w:r w:rsidR="007C073C">
        <w:t>I</w:t>
      </w:r>
      <w:r w:rsidR="003C193E">
        <w:t xml:space="preserve">nformasjon og </w:t>
      </w:r>
      <w:r w:rsidR="007C073C">
        <w:t>revisjon</w:t>
      </w:r>
    </w:p>
    <w:p w14:paraId="0FD9FA52" w14:textId="7AFF5A03" w:rsidR="003C193E" w:rsidRDefault="003C193E" w:rsidP="002D271A">
      <w:pPr>
        <w:spacing w:before="120"/>
      </w:pPr>
      <w:bookmarkStart w:id="14" w:name="_Hlk153201203"/>
      <w:r>
        <w:t>Databehandleren skal på forespørsel gi den Behandlingsansvarlige tilgang til all informasjon og dokumentasjon som er nødvendig for å påvise at forpliktelsene fastsatt i denne Databehandleravtalen er oppfylt.</w:t>
      </w:r>
    </w:p>
    <w:p w14:paraId="79620EF1" w14:textId="3925F4FD" w:rsidR="002D271A" w:rsidRDefault="003C193E" w:rsidP="002D271A">
      <w:pPr>
        <w:spacing w:before="120"/>
      </w:pPr>
      <w:r>
        <w:t xml:space="preserve">Denne informasjonen og dokumentasjonen omfatter, men er ikke begrenset til, </w:t>
      </w:r>
      <w:r w:rsidR="00590C4B">
        <w:t>dokumentasjon på sikkerhetstiltak som nevnt i punkt 6</w:t>
      </w:r>
      <w:r>
        <w:t xml:space="preserve"> (</w:t>
      </w:r>
      <w:r w:rsidR="00590C4B" w:rsidRPr="0039280A">
        <w:t>risikovurderinger og etablerte sikringstiltak</w:t>
      </w:r>
      <w:r w:rsidR="00590C4B">
        <w:t xml:space="preserve">, </w:t>
      </w:r>
      <w:r w:rsidR="00590C4B" w:rsidRPr="00590C4B">
        <w:t>beredskapsplane</w:t>
      </w:r>
      <w:r w:rsidR="00590C4B">
        <w:t>ne</w:t>
      </w:r>
      <w:r w:rsidR="00590C4B" w:rsidRPr="00590C4B">
        <w:t xml:space="preserve"> for håndtering av alvorlige sikkerhetshendelser</w:t>
      </w:r>
      <w:r w:rsidR="00590C4B">
        <w:t xml:space="preserve">, </w:t>
      </w:r>
      <w:r w:rsidR="0039280A" w:rsidRPr="0039280A">
        <w:t xml:space="preserve">rutiner for </w:t>
      </w:r>
      <w:r w:rsidR="00590C4B">
        <w:t xml:space="preserve">informasjon og opplæring av ansatte, rapporter fra egne sikkerhetsrevisjoner, </w:t>
      </w:r>
      <w:proofErr w:type="spellStart"/>
      <w:r w:rsidR="00590C4B">
        <w:t>etc</w:t>
      </w:r>
      <w:proofErr w:type="spellEnd"/>
      <w:r>
        <w:t>),</w:t>
      </w:r>
      <w:r w:rsidR="00590C4B">
        <w:t xml:space="preserve"> </w:t>
      </w:r>
      <w:r>
        <w:t>tilgangsdokumentasjon (</w:t>
      </w:r>
      <w:r w:rsidR="0039280A" w:rsidRPr="0039280A">
        <w:t>retningslinjer og rutiner for tilgangsstyring</w:t>
      </w:r>
      <w:r>
        <w:t xml:space="preserve">), </w:t>
      </w:r>
      <w:r w:rsidR="007B0130">
        <w:t>underdatabehandleravtaler</w:t>
      </w:r>
      <w:r w:rsidR="00597FEF">
        <w:t>, grunnlag for overføring til tredjeland</w:t>
      </w:r>
      <w:r w:rsidR="007B0130">
        <w:t xml:space="preserve"> </w:t>
      </w:r>
      <w:r>
        <w:t xml:space="preserve">og annen </w:t>
      </w:r>
      <w:r w:rsidR="002D271A">
        <w:t xml:space="preserve">dokumentasjon som er nødvendig for at </w:t>
      </w:r>
      <w:r>
        <w:t xml:space="preserve">Behandlingsansvarlig </w:t>
      </w:r>
      <w:r w:rsidR="002D271A">
        <w:t xml:space="preserve">skal kunne ivareta sine forpliktelser i henhold til </w:t>
      </w:r>
      <w:r>
        <w:t xml:space="preserve">GDPR og annen </w:t>
      </w:r>
      <w:r w:rsidR="0045131D">
        <w:t>gjeldende person</w:t>
      </w:r>
      <w:r>
        <w:t>vern</w:t>
      </w:r>
      <w:r w:rsidR="0045131D">
        <w:t>lovgivning</w:t>
      </w:r>
      <w:r w:rsidR="002D271A">
        <w:t>.</w:t>
      </w:r>
      <w:bookmarkEnd w:id="14"/>
      <w:r w:rsidR="002D271A">
        <w:t xml:space="preserve"> </w:t>
      </w:r>
    </w:p>
    <w:p w14:paraId="7F1360C9" w14:textId="6173E978" w:rsidR="009C7B56" w:rsidRDefault="00DF42C8">
      <w:pPr>
        <w:spacing w:before="120"/>
      </w:pPr>
      <w:r>
        <w:t xml:space="preserve">Ansatte hos </w:t>
      </w:r>
      <w:r w:rsidR="003C193E">
        <w:t xml:space="preserve">Behandlingsansvarlig </w:t>
      </w:r>
      <w:r>
        <w:t xml:space="preserve">har taushetsplikt for konfidensiell sikkerhetsdokumentasjon som </w:t>
      </w:r>
      <w:r w:rsidR="003C193E">
        <w:t xml:space="preserve">Databehandleren </w:t>
      </w:r>
      <w:r>
        <w:t xml:space="preserve">gjør tilgjengelig for </w:t>
      </w:r>
      <w:r w:rsidR="003C193E">
        <w:t>Behandlingsansvarlig</w:t>
      </w:r>
      <w:r>
        <w:t>.</w:t>
      </w:r>
    </w:p>
    <w:p w14:paraId="3F010915" w14:textId="12FB9CAF" w:rsidR="00FC2580" w:rsidRDefault="00FC2580">
      <w:pPr>
        <w:spacing w:before="120"/>
      </w:pPr>
      <w:r>
        <w:t xml:space="preserve">Databehandleren skal bidra til </w:t>
      </w:r>
      <w:r w:rsidR="00A30A3D">
        <w:t>å</w:t>
      </w:r>
      <w:r>
        <w:t xml:space="preserve"> muliggjøre revisjoner og inspeksjoner som gjennomføres av Behandlingsansvarlig eller en tredjepart på fullmakt fra Behandlingsansvarlig.</w:t>
      </w:r>
      <w:r w:rsidR="007C073C">
        <w:t xml:space="preserve"> Ved bruk av tredjepart skal det utarbeides en rapport som vil bli overlevert Behandlingsansvarlig, og som Behandlingsansvarlig kan vise til Datatilsynet eller andre som har behov for å kjenne innholdet. </w:t>
      </w:r>
    </w:p>
    <w:p w14:paraId="6AA68CD8" w14:textId="77777777" w:rsidR="009C7B56" w:rsidRDefault="009C7B56">
      <w:pPr>
        <w:spacing w:before="120"/>
      </w:pPr>
    </w:p>
    <w:p w14:paraId="14E501BA" w14:textId="71F05891" w:rsidR="005A3848" w:rsidRPr="00481E06" w:rsidRDefault="00A056C0" w:rsidP="005E01B5">
      <w:pPr>
        <w:pStyle w:val="Overskrift2"/>
      </w:pPr>
      <w:bookmarkStart w:id="15" w:name="_Toc231181836"/>
      <w:r>
        <w:t>1</w:t>
      </w:r>
      <w:r w:rsidR="00FC2580">
        <w:t>1</w:t>
      </w:r>
      <w:r>
        <w:t xml:space="preserve">. </w:t>
      </w:r>
      <w:r w:rsidRPr="005E01B5">
        <w:t>U</w:t>
      </w:r>
      <w:r w:rsidR="00F7557B" w:rsidRPr="005E01B5">
        <w:t>nderleverandør</w:t>
      </w:r>
      <w:bookmarkEnd w:id="15"/>
      <w:r w:rsidRPr="005E01B5">
        <w:t>er</w:t>
      </w:r>
    </w:p>
    <w:p w14:paraId="38901DDE" w14:textId="782B5153" w:rsidR="00AE57C7" w:rsidRDefault="007B0130" w:rsidP="007B0130">
      <w:pPr>
        <w:spacing w:before="120"/>
      </w:pPr>
      <w:r>
        <w:t xml:space="preserve">Dersom </w:t>
      </w:r>
      <w:r w:rsidR="00AE57C7">
        <w:t>D</w:t>
      </w:r>
      <w:r w:rsidR="00071F39">
        <w:t>atabehandler</w:t>
      </w:r>
      <w:r>
        <w:t>en</w:t>
      </w:r>
      <w:r w:rsidR="00071F39">
        <w:t xml:space="preserve"> </w:t>
      </w:r>
      <w:r>
        <w:t xml:space="preserve">benytter underleverandører, </w:t>
      </w:r>
      <w:r w:rsidR="00E703CD">
        <w:t>plikter</w:t>
      </w:r>
      <w:r>
        <w:t xml:space="preserve"> Databehandleren</w:t>
      </w:r>
      <w:r w:rsidR="00E703CD">
        <w:t xml:space="preserve"> å </w:t>
      </w:r>
      <w:r w:rsidR="00597FEF">
        <w:t xml:space="preserve">sørge for at underleverandøren </w:t>
      </w:r>
      <w:r w:rsidR="00597FEF" w:rsidRPr="00597FEF">
        <w:t>gi</w:t>
      </w:r>
      <w:r w:rsidR="00597FEF">
        <w:t>r</w:t>
      </w:r>
      <w:r w:rsidR="00597FEF" w:rsidRPr="00597FEF">
        <w:t xml:space="preserve"> tilstrekkelige garantier for at det vil bli gjennomført tekniske og organisatoriske tiltak som sikrer at behandlingen oppfyller kravene i </w:t>
      </w:r>
      <w:r w:rsidR="00597FEF">
        <w:t xml:space="preserve">GDPR og annen gjeldende personvernlovgivning. Databehandleren plikter også å </w:t>
      </w:r>
      <w:r w:rsidR="00D2484F">
        <w:t>inngå</w:t>
      </w:r>
      <w:r w:rsidR="00071F39">
        <w:t xml:space="preserve"> egne</w:t>
      </w:r>
      <w:r w:rsidR="00AE57C7">
        <w:t xml:space="preserve"> avtale</w:t>
      </w:r>
      <w:r w:rsidR="00071F39">
        <w:t>r</w:t>
      </w:r>
      <w:r w:rsidR="00D2484F">
        <w:t xml:space="preserve"> </w:t>
      </w:r>
      <w:r>
        <w:t xml:space="preserve">som pålegger </w:t>
      </w:r>
      <w:r w:rsidR="00AE57C7">
        <w:t>underleverandøre</w:t>
      </w:r>
      <w:r>
        <w:t xml:space="preserve">ne de samme forpliktelsene med hensyn til vern av </w:t>
      </w:r>
      <w:r>
        <w:lastRenderedPageBreak/>
        <w:t xml:space="preserve">personopplysninger som er fastsatt i denne Databehandleravtalen. </w:t>
      </w:r>
      <w:bookmarkStart w:id="16" w:name="_Hlk153198783"/>
      <w:r w:rsidR="00F13E1C">
        <w:t xml:space="preserve">Databehandleren skal sikre at underleverandøren </w:t>
      </w:r>
      <w:r w:rsidR="00F271F4">
        <w:t>overholder forpliktelsene som Databehandleren er underlagt i henhold til denne Databehandleravtalen og i henhold til</w:t>
      </w:r>
      <w:r>
        <w:t xml:space="preserve"> GDPR og annen gjeldende personvernlovgivning.</w:t>
      </w:r>
      <w:r w:rsidR="00DC699D">
        <w:t xml:space="preserve"> </w:t>
      </w:r>
      <w:bookmarkEnd w:id="16"/>
    </w:p>
    <w:p w14:paraId="5DC820DB" w14:textId="49212F55" w:rsidR="00893E14" w:rsidRDefault="007B0130">
      <w:pPr>
        <w:spacing w:before="120"/>
      </w:pPr>
      <w:r>
        <w:t xml:space="preserve">Enhver underleverandør skal godkjennes skriftlig av Behandlingsansvarlig før underleverandøren kan behandle personopplysninger. </w:t>
      </w:r>
      <w:r w:rsidR="0036260D">
        <w:t xml:space="preserve">Behandlingsansvarlig godkjenner at </w:t>
      </w:r>
      <w:r>
        <w:t xml:space="preserve">Databehandleren </w:t>
      </w:r>
      <w:r w:rsidR="0036260D">
        <w:t>engasjerer underleverandøre</w:t>
      </w:r>
      <w:r>
        <w:t xml:space="preserve">ne som er angitt i Vedlegg 1. </w:t>
      </w:r>
      <w:r w:rsidR="008B7C30">
        <w:t>D</w:t>
      </w:r>
      <w:r w:rsidR="0036260D">
        <w:t>atabehandler</w:t>
      </w:r>
      <w:r>
        <w:t>en</w:t>
      </w:r>
      <w:r w:rsidR="0036260D">
        <w:t xml:space="preserve"> kan ikke engasjere andre underleverandører enn de som er nevnt </w:t>
      </w:r>
      <w:r>
        <w:t xml:space="preserve">i Vedlegg 1 </w:t>
      </w:r>
      <w:r w:rsidR="0036260D">
        <w:t xml:space="preserve">uten at dette på forhånd er </w:t>
      </w:r>
      <w:r w:rsidR="00456B22">
        <w:t xml:space="preserve">skriftlig </w:t>
      </w:r>
      <w:r w:rsidR="0036260D">
        <w:t xml:space="preserve">godkjent av </w:t>
      </w:r>
      <w:r w:rsidR="009E764C">
        <w:t>Behandlingsansvarlig</w:t>
      </w:r>
      <w:r w:rsidR="0036260D">
        <w:t>.</w:t>
      </w:r>
    </w:p>
    <w:p w14:paraId="47288E17" w14:textId="77777777" w:rsidR="0036260D" w:rsidRDefault="0036260D">
      <w:pPr>
        <w:spacing w:before="120"/>
      </w:pPr>
    </w:p>
    <w:p w14:paraId="793B6042" w14:textId="5BE4A0B5" w:rsidR="0036260D" w:rsidRDefault="006E063C" w:rsidP="00AC11B6">
      <w:pPr>
        <w:pStyle w:val="Overskrift2"/>
      </w:pPr>
      <w:r>
        <w:t>1</w:t>
      </w:r>
      <w:r w:rsidR="00FC2580">
        <w:t>2</w:t>
      </w:r>
      <w:r w:rsidR="0036260D" w:rsidRPr="0036260D">
        <w:t xml:space="preserve">. Overføring til </w:t>
      </w:r>
      <w:r w:rsidR="002725B4">
        <w:t xml:space="preserve">land utenfor </w:t>
      </w:r>
      <w:r w:rsidR="00CD7A17">
        <w:t>EU/</w:t>
      </w:r>
      <w:r w:rsidR="002725B4">
        <w:t>EØS</w:t>
      </w:r>
    </w:p>
    <w:p w14:paraId="6F75A902" w14:textId="574075EC" w:rsidR="00407500" w:rsidRPr="005E01B5" w:rsidRDefault="00407500" w:rsidP="005E01B5">
      <w:pPr>
        <w:rPr>
          <w:lang w:eastAsia="en-US"/>
        </w:rPr>
      </w:pPr>
      <w:bookmarkStart w:id="17" w:name="_Hlk153199671"/>
      <w:r>
        <w:rPr>
          <w:lang w:eastAsia="en-US"/>
        </w:rPr>
        <w:t xml:space="preserve">Overføring av personopplysninger til tredjeland eller bruk av underleverandører i tredjeland kan bare skje på instruks fra Behandlingsansvarlig. </w:t>
      </w:r>
      <w:r w:rsidR="001B2E79">
        <w:rPr>
          <w:lang w:eastAsia="en-US"/>
        </w:rPr>
        <w:t xml:space="preserve">Dette omfatter også fjerntilgang fra utlandet. </w:t>
      </w:r>
      <w:r>
        <w:rPr>
          <w:lang w:eastAsia="en-US"/>
        </w:rPr>
        <w:t>Ved enhver slik overføring til tredjeland eller bruk av underleverandører i tredjeland skal Databehandleren sikre at bestemmelsene i GDPR og annen gjeldende personvernlovgivning overholdes, inkludert at overføringen skjer i overensstemmelse med</w:t>
      </w:r>
      <w:r w:rsidR="001D1B43">
        <w:rPr>
          <w:lang w:eastAsia="en-US"/>
        </w:rPr>
        <w:t xml:space="preserve"> et av de godkjente overføringsgrunnlagene i GDPR kapittel V.</w:t>
      </w:r>
      <w:r>
        <w:rPr>
          <w:lang w:eastAsia="en-US"/>
        </w:rPr>
        <w:t xml:space="preserve">  </w:t>
      </w:r>
    </w:p>
    <w:p w14:paraId="513A6ECA" w14:textId="5ABB4E58" w:rsidR="00CF6805" w:rsidRDefault="001D1B43" w:rsidP="00CF6805">
      <w:pPr>
        <w:spacing w:before="120"/>
      </w:pPr>
      <w:r>
        <w:t>En oversikt over hvilke tredjeland p</w:t>
      </w:r>
      <w:r w:rsidR="00CF6805">
        <w:t>ersonopplysninge</w:t>
      </w:r>
      <w:r>
        <w:t>ne</w:t>
      </w:r>
      <w:r w:rsidR="00CF6805">
        <w:t xml:space="preserve"> som </w:t>
      </w:r>
      <w:r>
        <w:t xml:space="preserve">Databehandler behandler </w:t>
      </w:r>
      <w:r w:rsidR="009177CF">
        <w:t xml:space="preserve">i henhold til denne </w:t>
      </w:r>
      <w:r>
        <w:t>Databehandler</w:t>
      </w:r>
      <w:r w:rsidR="009177CF">
        <w:t>avtalen</w:t>
      </w:r>
      <w:r>
        <w:t xml:space="preserve"> vil bli </w:t>
      </w:r>
      <w:r w:rsidR="00CF6805">
        <w:t>overført til</w:t>
      </w:r>
      <w:r>
        <w:t xml:space="preserve"> og grunnlaget for overføringene følger av Vedlegg 1.</w:t>
      </w:r>
      <w:r w:rsidR="00CF6805">
        <w:t xml:space="preserve"> </w:t>
      </w:r>
      <w:bookmarkEnd w:id="17"/>
    </w:p>
    <w:p w14:paraId="034E8855" w14:textId="77777777" w:rsidR="00226945" w:rsidRDefault="00226945" w:rsidP="00226945">
      <w:pPr>
        <w:spacing w:before="120"/>
      </w:pPr>
      <w:bookmarkStart w:id="18" w:name="_Toc231181838"/>
    </w:p>
    <w:p w14:paraId="40E51EFE" w14:textId="7626A87F" w:rsidR="007C064C" w:rsidRPr="007C064C" w:rsidRDefault="007C064C" w:rsidP="005E01B5">
      <w:pPr>
        <w:pStyle w:val="Overskrift2"/>
      </w:pPr>
      <w:bookmarkStart w:id="19" w:name="_Toc231181840"/>
      <w:bookmarkStart w:id="20" w:name="_Toc231181839"/>
      <w:bookmarkEnd w:id="18"/>
      <w:r>
        <w:t>13</w:t>
      </w:r>
      <w:r w:rsidRPr="007C064C">
        <w:t xml:space="preserve">. </w:t>
      </w:r>
      <w:bookmarkEnd w:id="19"/>
      <w:r w:rsidR="00316805" w:rsidRPr="005E01B5">
        <w:t>Tilbakelevering</w:t>
      </w:r>
      <w:r w:rsidR="00316805">
        <w:t xml:space="preserve"> og s</w:t>
      </w:r>
      <w:r w:rsidRPr="007C064C">
        <w:t>letting</w:t>
      </w:r>
    </w:p>
    <w:p w14:paraId="352DB404" w14:textId="7E0A0AEA" w:rsidR="007C064C" w:rsidRDefault="007C064C" w:rsidP="007C064C">
      <w:pPr>
        <w:spacing w:before="120"/>
      </w:pPr>
      <w:r>
        <w:t xml:space="preserve">Ved opphør av denne </w:t>
      </w:r>
      <w:r w:rsidR="001D1B43">
        <w:t>Databehandler</w:t>
      </w:r>
      <w:r>
        <w:t xml:space="preserve">avtalen plikter </w:t>
      </w:r>
      <w:r w:rsidR="001D1B43">
        <w:t xml:space="preserve">Databehandleren </w:t>
      </w:r>
      <w:r>
        <w:t xml:space="preserve">å </w:t>
      </w:r>
      <w:r w:rsidR="007F627E">
        <w:t xml:space="preserve">slette og </w:t>
      </w:r>
      <w:r>
        <w:t>tilbakelevere</w:t>
      </w:r>
      <w:r w:rsidR="00316805">
        <w:t xml:space="preserve"> alle personopplysninger som </w:t>
      </w:r>
      <w:r w:rsidR="001D1B43">
        <w:t xml:space="preserve">behandles </w:t>
      </w:r>
      <w:r w:rsidR="00316805">
        <w:t xml:space="preserve">på vegne av </w:t>
      </w:r>
      <w:r w:rsidR="001D1B43">
        <w:t xml:space="preserve">Behandlingsansvarlig </w:t>
      </w:r>
      <w:r w:rsidR="007F627E">
        <w:t xml:space="preserve">i forbindelse med levering </w:t>
      </w:r>
      <w:r w:rsidR="001D1B43">
        <w:t>av tjenester under Hovedavtalen</w:t>
      </w:r>
      <w:r>
        <w:t xml:space="preserve">. Behandlingsansvarlig bestemmer hvordan tilbakelevering av </w:t>
      </w:r>
      <w:r w:rsidR="00316805">
        <w:t>person</w:t>
      </w:r>
      <w:r>
        <w:t xml:space="preserve">opplysningene skal skje, herunder hvilket format som skal benyttes. </w:t>
      </w:r>
    </w:p>
    <w:p w14:paraId="0B6A95AF" w14:textId="66CB2829" w:rsidR="007F627E" w:rsidRDefault="007C064C" w:rsidP="007C064C">
      <w:pPr>
        <w:spacing w:before="120"/>
      </w:pPr>
      <w:r>
        <w:t>Databehandler</w:t>
      </w:r>
      <w:r w:rsidR="001D1B43">
        <w:t>en</w:t>
      </w:r>
      <w:r>
        <w:t xml:space="preserve"> skal </w:t>
      </w:r>
      <w:r w:rsidR="001D1B43">
        <w:t xml:space="preserve">stanse behandlingen av og </w:t>
      </w:r>
      <w:r>
        <w:t xml:space="preserve">slette </w:t>
      </w:r>
      <w:r w:rsidR="001D1B43">
        <w:t xml:space="preserve">personopplysningene </w:t>
      </w:r>
      <w:r w:rsidR="007F627E">
        <w:t xml:space="preserve">fra alle lagringsmedier </w:t>
      </w:r>
      <w:r w:rsidR="001D1B43">
        <w:t xml:space="preserve">uten ugrunnet opphold etter Databehandleravtalens opphør, inkludert sikkerhetskopier. </w:t>
      </w:r>
      <w:r>
        <w:t>Databehandler</w:t>
      </w:r>
      <w:r w:rsidR="001D1B43">
        <w:t>en</w:t>
      </w:r>
      <w:r>
        <w:t xml:space="preserve"> skal </w:t>
      </w:r>
      <w:r w:rsidR="001D1B43">
        <w:t>på forespørsel fra Behandlingsansvarlig gi en skriftlig erklæring på</w:t>
      </w:r>
      <w:r>
        <w:t xml:space="preserve"> at sletting </w:t>
      </w:r>
      <w:r w:rsidR="007F627E">
        <w:t>av personopplysninger er</w:t>
      </w:r>
      <w:r>
        <w:t xml:space="preserve"> foretatt i henhold til denne </w:t>
      </w:r>
      <w:r w:rsidR="001D1B43">
        <w:t>Databehandler</w:t>
      </w:r>
      <w:r>
        <w:t xml:space="preserve">avtalen. Databehandler dekker alle kostnader i forbindelse med tilbakelevering og sletting av de personopplysninger som omfattes av denne </w:t>
      </w:r>
      <w:r w:rsidR="004E7E48">
        <w:t>Databehandler</w:t>
      </w:r>
      <w:r>
        <w:t>avtalen.</w:t>
      </w:r>
    </w:p>
    <w:p w14:paraId="0D961AAF" w14:textId="77777777" w:rsidR="004E7E48" w:rsidRDefault="004E7E48" w:rsidP="007C064C">
      <w:pPr>
        <w:spacing w:before="120"/>
      </w:pPr>
    </w:p>
    <w:p w14:paraId="2C0129C0" w14:textId="2599F35D" w:rsidR="00651A32" w:rsidRPr="00651A32" w:rsidRDefault="00651A32" w:rsidP="005E01B5">
      <w:pPr>
        <w:pStyle w:val="Overskrift2"/>
      </w:pPr>
      <w:r w:rsidRPr="00651A32">
        <w:t>14. Mislighold</w:t>
      </w:r>
      <w:r w:rsidR="001B2E79">
        <w:t xml:space="preserve"> og ansvar</w:t>
      </w:r>
    </w:p>
    <w:p w14:paraId="07DED47B" w14:textId="3B212583" w:rsidR="00651A32" w:rsidRDefault="001B2E79" w:rsidP="00651A32">
      <w:pPr>
        <w:spacing w:before="120"/>
      </w:pPr>
      <w:bookmarkStart w:id="21" w:name="_Hlk153201642"/>
      <w:r>
        <w:t xml:space="preserve">Dersom Databehandleren ikke overholder sine plikter etter denne Databehandleravtalen eller etter GDPR og annen gjeldende personvernlovgivning, </w:t>
      </w:r>
      <w:r w:rsidR="00917C98">
        <w:t>anses det som mislighold av denne Databehandleravtalen og Hovedavtalen. Ved slikt mislighold kan B</w:t>
      </w:r>
      <w:r w:rsidR="00651A32">
        <w:t xml:space="preserve">ehandlingsansvarlig si opp </w:t>
      </w:r>
      <w:r w:rsidR="00917C98">
        <w:t>Hoved</w:t>
      </w:r>
      <w:r w:rsidR="00651A32">
        <w:t xml:space="preserve">avtalen med øyeblikkelig virkning. </w:t>
      </w:r>
      <w:bookmarkEnd w:id="21"/>
      <w:r w:rsidR="00651A32">
        <w:t>Databehandler</w:t>
      </w:r>
      <w:r w:rsidR="00917C98">
        <w:t>en</w:t>
      </w:r>
      <w:r w:rsidR="00651A32">
        <w:t xml:space="preserve"> vil fortsatt være pliktig til å tilbakelevere og slette personopplysninge</w:t>
      </w:r>
      <w:r w:rsidR="00330AD1">
        <w:t xml:space="preserve">r som </w:t>
      </w:r>
      <w:r w:rsidR="00917C98">
        <w:t xml:space="preserve">behandles </w:t>
      </w:r>
      <w:r w:rsidR="00330AD1">
        <w:t xml:space="preserve">på vegne av </w:t>
      </w:r>
      <w:r w:rsidR="00917C98">
        <w:t xml:space="preserve">Behandlingsansvarlig </w:t>
      </w:r>
      <w:r w:rsidR="00651A32">
        <w:t>i henhold til bestemmelsene i punkt 13</w:t>
      </w:r>
      <w:r w:rsidR="00C4193B">
        <w:t xml:space="preserve"> ovenfor</w:t>
      </w:r>
      <w:r w:rsidR="00651A32">
        <w:t xml:space="preserve">. </w:t>
      </w:r>
    </w:p>
    <w:p w14:paraId="6F4B89C2" w14:textId="51317AC1" w:rsidR="00917C98" w:rsidRDefault="00651A32" w:rsidP="00917C98">
      <w:pPr>
        <w:spacing w:before="120"/>
      </w:pPr>
      <w:bookmarkStart w:id="22" w:name="_Hlk153201733"/>
      <w:r>
        <w:t>Behandlingsansvarlig kan kreve erstatning for økonomiske tap</w:t>
      </w:r>
      <w:r w:rsidR="00917C98">
        <w:t>, herunder administrative overtredelsesgebyr og erstatningskrav som rettes mot Behandlingsansvarlig, som skyldes Databehandlerens brudd på sine plikter etter denne Databehandleravtalen eller etter GDPR og annen gjeldende personvernlovgivning.</w:t>
      </w:r>
      <w:bookmarkEnd w:id="22"/>
      <w:r w:rsidR="00917C98">
        <w:t xml:space="preserve"> </w:t>
      </w:r>
      <w:bookmarkStart w:id="23" w:name="_Hlk153201950"/>
      <w:r w:rsidR="00917C98">
        <w:t xml:space="preserve">I den grad det økonomiske tapet skyldes ulovlig eller </w:t>
      </w:r>
      <w:r w:rsidR="00917C98">
        <w:lastRenderedPageBreak/>
        <w:t>urettmessig behandling av personopplysninger eller mangelfull informasjonssikkerhet hos Databehandlerens underleverandører, er Databehandleren på samme måte erstatningsansvarlig overfor Behandlingsansvarlig.</w:t>
      </w:r>
      <w:bookmarkEnd w:id="23"/>
      <w:r w:rsidR="00917C98">
        <w:t xml:space="preserve"> </w:t>
      </w:r>
    </w:p>
    <w:p w14:paraId="0F118D29" w14:textId="67470FA2" w:rsidR="00AC11B6" w:rsidRDefault="00AC11B6" w:rsidP="00651A32">
      <w:pPr>
        <w:spacing w:before="120"/>
      </w:pPr>
    </w:p>
    <w:p w14:paraId="7EA21DAB" w14:textId="38992A78" w:rsidR="005A3848" w:rsidRPr="007C064C" w:rsidRDefault="007C064C" w:rsidP="005E01B5">
      <w:pPr>
        <w:pStyle w:val="Overskrift2"/>
      </w:pPr>
      <w:r>
        <w:t>1</w:t>
      </w:r>
      <w:r w:rsidR="00651A32">
        <w:t>5</w:t>
      </w:r>
      <w:r w:rsidR="00F7557B" w:rsidRPr="007C064C">
        <w:t xml:space="preserve">. Avtalens </w:t>
      </w:r>
      <w:r w:rsidR="00F7557B" w:rsidRPr="005E01B5">
        <w:t>varighet</w:t>
      </w:r>
      <w:bookmarkEnd w:id="20"/>
    </w:p>
    <w:p w14:paraId="1AE91AAC" w14:textId="26DC9AAC" w:rsidR="005A3848" w:rsidRDefault="00784F78" w:rsidP="004E7E48">
      <w:pPr>
        <w:spacing w:before="120"/>
      </w:pPr>
      <w:bookmarkStart w:id="24" w:name="_Hlk153200244"/>
      <w:r>
        <w:t xml:space="preserve">Denne </w:t>
      </w:r>
      <w:r w:rsidR="004E7E48">
        <w:t>Databehandler</w:t>
      </w:r>
      <w:r>
        <w:t>a</w:t>
      </w:r>
      <w:r w:rsidR="00F7557B">
        <w:t xml:space="preserve">vtalen gjelder </w:t>
      </w:r>
      <w:r w:rsidR="004E7E48">
        <w:t>så lenge</w:t>
      </w:r>
      <w:r w:rsidR="00F7557B">
        <w:t xml:space="preserve"> </w:t>
      </w:r>
      <w:r w:rsidR="004E7E48">
        <w:t xml:space="preserve">Hovedavtalen løper, eller inntil Databehandlerens plikt til å levere tjenester under Hovedavtalen opphører av annen grunn. </w:t>
      </w:r>
      <w:bookmarkEnd w:id="24"/>
    </w:p>
    <w:p w14:paraId="54039137" w14:textId="77777777" w:rsidR="00AC11B6" w:rsidRDefault="00AC11B6">
      <w:pPr>
        <w:spacing w:before="120"/>
      </w:pPr>
    </w:p>
    <w:p w14:paraId="0457AFC8" w14:textId="5562A3B1" w:rsidR="005A3848" w:rsidRPr="00330AD1" w:rsidRDefault="007C064C" w:rsidP="005E01B5">
      <w:pPr>
        <w:pStyle w:val="Overskrift2"/>
      </w:pPr>
      <w:bookmarkStart w:id="25" w:name="_Toc231181841"/>
      <w:r>
        <w:t>1</w:t>
      </w:r>
      <w:r w:rsidR="00651A32">
        <w:t>6</w:t>
      </w:r>
      <w:r w:rsidR="00F7557B" w:rsidRPr="007C064C">
        <w:t xml:space="preserve">. </w:t>
      </w:r>
      <w:r w:rsidR="001813C9" w:rsidRPr="005E01B5">
        <w:t>Kontaktpersoner</w:t>
      </w:r>
      <w:bookmarkEnd w:id="25"/>
    </w:p>
    <w:p w14:paraId="2AE7B133" w14:textId="4F07926D" w:rsidR="00FE75C2" w:rsidRDefault="00FE75C2" w:rsidP="004E7E48">
      <w:pPr>
        <w:spacing w:before="120"/>
      </w:pPr>
      <w:r>
        <w:t>Kontaktperson</w:t>
      </w:r>
      <w:r w:rsidR="004E7E48">
        <w:t>er</w:t>
      </w:r>
      <w:r>
        <w:t xml:space="preserve"> hos </w:t>
      </w:r>
      <w:r w:rsidR="004E7E48">
        <w:t xml:space="preserve">Databehandleren og Behandlingsansvarlig </w:t>
      </w:r>
      <w:r>
        <w:t xml:space="preserve">for spørsmål knyttet til denne </w:t>
      </w:r>
      <w:r w:rsidR="004E7E48">
        <w:t>Databehandler</w:t>
      </w:r>
      <w:r>
        <w:t xml:space="preserve">avtalen </w:t>
      </w:r>
      <w:r w:rsidR="004E7E48">
        <w:t>er oppført i Vedlegg 1</w:t>
      </w:r>
      <w:r>
        <w:t xml:space="preserve">. </w:t>
      </w:r>
    </w:p>
    <w:p w14:paraId="08E77149" w14:textId="77777777" w:rsidR="00376136" w:rsidRDefault="00376136" w:rsidP="00376136">
      <w:bookmarkStart w:id="26" w:name="_Toc231181842"/>
    </w:p>
    <w:p w14:paraId="607922BD" w14:textId="14C81742" w:rsidR="005A3848" w:rsidRPr="00330AD1" w:rsidRDefault="00F7557B" w:rsidP="005E01B5">
      <w:pPr>
        <w:pStyle w:val="Overskrift2"/>
      </w:pPr>
      <w:r w:rsidRPr="007C064C">
        <w:t>1</w:t>
      </w:r>
      <w:r w:rsidR="00651A32">
        <w:t>7</w:t>
      </w:r>
      <w:r w:rsidRPr="007C064C">
        <w:t>. Lovvalg</w:t>
      </w:r>
      <w:r w:rsidR="004E7E48">
        <w:t>, tvister</w:t>
      </w:r>
      <w:r w:rsidRPr="007C064C">
        <w:t xml:space="preserve"> og verneting</w:t>
      </w:r>
      <w:bookmarkEnd w:id="26"/>
      <w:r w:rsidR="00247299">
        <w:t xml:space="preserve"> </w:t>
      </w:r>
    </w:p>
    <w:p w14:paraId="1771DD5F" w14:textId="0EC8A165" w:rsidR="00247299" w:rsidRDefault="00247299" w:rsidP="005E01B5">
      <w:bookmarkStart w:id="27" w:name="_Hlk153200419"/>
      <w:r w:rsidRPr="00247299">
        <w:rPr>
          <w:color w:val="000000" w:themeColor="text1"/>
        </w:rPr>
        <w:t xml:space="preserve">Partenes rettigheter og plikter etter denne </w:t>
      </w:r>
      <w:r w:rsidR="00927F7D">
        <w:rPr>
          <w:color w:val="000000" w:themeColor="text1"/>
        </w:rPr>
        <w:t>Databehandler</w:t>
      </w:r>
      <w:r w:rsidRPr="00247299">
        <w:rPr>
          <w:color w:val="000000" w:themeColor="text1"/>
        </w:rPr>
        <w:t xml:space="preserve">avtalen bestemmes i sin helhet av norsk rett. Eventuelle tvister som springer ut av denne </w:t>
      </w:r>
      <w:r w:rsidR="00927F7D">
        <w:rPr>
          <w:color w:val="000000" w:themeColor="text1"/>
        </w:rPr>
        <w:t>Databehandler</w:t>
      </w:r>
      <w:r w:rsidRPr="00247299">
        <w:rPr>
          <w:color w:val="000000" w:themeColor="text1"/>
        </w:rPr>
        <w:t>avtalen skal først søkes løst gjennom forhandlinger.</w:t>
      </w:r>
      <w:r w:rsidR="004E7E48">
        <w:rPr>
          <w:color w:val="000000" w:themeColor="text1"/>
        </w:rPr>
        <w:t xml:space="preserve"> </w:t>
      </w:r>
      <w:r>
        <w:rPr>
          <w:color w:val="000000" w:themeColor="text1"/>
        </w:rPr>
        <w:t xml:space="preserve">Dersom </w:t>
      </w:r>
      <w:r w:rsidRPr="00247299">
        <w:rPr>
          <w:color w:val="000000" w:themeColor="text1"/>
        </w:rPr>
        <w:t>partene ikke oppnår enighet gjennom forhandlinger, skal tvisten løses med bindende virkning av</w:t>
      </w:r>
      <w:r w:rsidR="004E7E48">
        <w:rPr>
          <w:color w:val="000000" w:themeColor="text1"/>
        </w:rPr>
        <w:t xml:space="preserve"> Oslo tingrett. Dersom </w:t>
      </w:r>
      <w:r w:rsidR="004E7E48" w:rsidRPr="004E7E48">
        <w:rPr>
          <w:color w:val="000000" w:themeColor="text1"/>
        </w:rPr>
        <w:t>Databehandler</w:t>
      </w:r>
      <w:r w:rsidR="0061695C">
        <w:rPr>
          <w:color w:val="000000" w:themeColor="text1"/>
        </w:rPr>
        <w:t>en</w:t>
      </w:r>
      <w:r w:rsidR="004E7E48" w:rsidRPr="004E7E48">
        <w:rPr>
          <w:color w:val="000000" w:themeColor="text1"/>
        </w:rPr>
        <w:t xml:space="preserve"> </w:t>
      </w:r>
      <w:r w:rsidR="004E7E48" w:rsidRPr="005E01B5">
        <w:rPr>
          <w:color w:val="000000" w:themeColor="text1"/>
        </w:rPr>
        <w:t>er et annet statlig universitet eller høyskole</w:t>
      </w:r>
      <w:r w:rsidR="004E7E48">
        <w:rPr>
          <w:color w:val="000000" w:themeColor="text1"/>
        </w:rPr>
        <w:t>, skal tvisten løses med bindende virkning av</w:t>
      </w:r>
      <w:r w:rsidR="004E7E48" w:rsidRPr="00247299">
        <w:rPr>
          <w:color w:val="000000" w:themeColor="text1"/>
        </w:rPr>
        <w:t xml:space="preserve"> </w:t>
      </w:r>
      <w:r w:rsidRPr="00247299">
        <w:rPr>
          <w:color w:val="000000" w:themeColor="text1"/>
        </w:rPr>
        <w:t>Kunnskapsdepartementet</w:t>
      </w:r>
      <w:r w:rsidR="004E7E48">
        <w:rPr>
          <w:color w:val="000000" w:themeColor="text1"/>
        </w:rPr>
        <w:t xml:space="preserve"> og h</w:t>
      </w:r>
      <w:r w:rsidRPr="00247299">
        <w:rPr>
          <w:color w:val="000000" w:themeColor="text1"/>
        </w:rPr>
        <w:t>ver av partene kan forlange at tvisten oversendes departementet.</w:t>
      </w:r>
      <w:bookmarkEnd w:id="27"/>
    </w:p>
    <w:p w14:paraId="6917EA45" w14:textId="59ACEDD9" w:rsidR="009C671C" w:rsidRDefault="009C671C" w:rsidP="00A070BA">
      <w:pPr>
        <w:spacing w:before="120"/>
      </w:pPr>
    </w:p>
    <w:p w14:paraId="00A9764C" w14:textId="0FAEE89F" w:rsidR="005A3848" w:rsidRDefault="00F7557B" w:rsidP="00A070BA">
      <w:pPr>
        <w:spacing w:before="120"/>
        <w:jc w:val="center"/>
      </w:pPr>
      <w:r>
        <w:t>***</w:t>
      </w:r>
    </w:p>
    <w:p w14:paraId="7D0C42AA" w14:textId="77777777" w:rsidR="00330AD1" w:rsidRDefault="00330AD1" w:rsidP="009C671C">
      <w:pPr>
        <w:spacing w:before="120"/>
      </w:pPr>
    </w:p>
    <w:p w14:paraId="002BFE28" w14:textId="77777777" w:rsidR="005A3848" w:rsidRDefault="00F7557B">
      <w:pPr>
        <w:spacing w:before="120"/>
        <w:jc w:val="center"/>
      </w:pPr>
      <w:r>
        <w:t>Denne avtale er i 2 – to eksemplarer, hvorav partene har hvert sitt.</w:t>
      </w:r>
    </w:p>
    <w:p w14:paraId="32C1EF05" w14:textId="77777777" w:rsidR="005A3848" w:rsidRDefault="005A3848" w:rsidP="00852AC1">
      <w:pPr>
        <w:spacing w:before="120"/>
      </w:pPr>
    </w:p>
    <w:p w14:paraId="738B35B1" w14:textId="5451A1C2" w:rsidR="00852AC1" w:rsidRDefault="00852AC1" w:rsidP="005E01B5">
      <w:pPr>
        <w:spacing w:before="12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296"/>
      </w:tblGrid>
      <w:tr w:rsidR="00852AC1" w14:paraId="50DC01C0" w14:textId="77777777" w:rsidTr="00852AC1">
        <w:tc>
          <w:tcPr>
            <w:tcW w:w="0" w:type="auto"/>
          </w:tcPr>
          <w:p w14:paraId="17D9DEBF" w14:textId="46DEC46E" w:rsidR="00852AC1" w:rsidRDefault="00852AC1" w:rsidP="005E01B5">
            <w:pPr>
              <w:spacing w:before="120"/>
            </w:pPr>
            <w:bookmarkStart w:id="28" w:name="_Hlk153200527"/>
            <w:r>
              <w:t xml:space="preserve">Sted og dato: </w:t>
            </w:r>
          </w:p>
        </w:tc>
        <w:tc>
          <w:tcPr>
            <w:tcW w:w="0" w:type="auto"/>
          </w:tcPr>
          <w:p w14:paraId="1C42FC76" w14:textId="6BD02FEC" w:rsidR="00852AC1" w:rsidRDefault="00852AC1" w:rsidP="005E01B5">
            <w:pPr>
              <w:spacing w:before="120"/>
            </w:pPr>
            <w:r>
              <w:t>Sted og dato:</w:t>
            </w:r>
          </w:p>
        </w:tc>
      </w:tr>
      <w:tr w:rsidR="00852AC1" w14:paraId="256AC7D6" w14:textId="77777777" w:rsidTr="00852AC1">
        <w:tc>
          <w:tcPr>
            <w:tcW w:w="0" w:type="auto"/>
          </w:tcPr>
          <w:p w14:paraId="0D7E3A10" w14:textId="77777777" w:rsidR="00852AC1" w:rsidRDefault="00852AC1" w:rsidP="00852AC1">
            <w:pPr>
              <w:spacing w:before="120"/>
            </w:pPr>
          </w:p>
          <w:p w14:paraId="501D9054" w14:textId="77777777" w:rsidR="00852AC1" w:rsidRDefault="00852AC1" w:rsidP="00852AC1">
            <w:pPr>
              <w:spacing w:before="120"/>
            </w:pPr>
          </w:p>
          <w:p w14:paraId="60ACB9FF" w14:textId="77777777" w:rsidR="00852AC1" w:rsidRDefault="00852AC1">
            <w:r>
              <w:t>__________________________________</w:t>
            </w:r>
          </w:p>
          <w:p w14:paraId="233BF626" w14:textId="58B3F348" w:rsidR="00852AC1" w:rsidRDefault="00852AC1" w:rsidP="005E01B5">
            <w:pPr>
              <w:spacing w:before="120"/>
            </w:pPr>
            <w:r>
              <w:t>På vegne av Behandlingsansvarlig</w:t>
            </w:r>
          </w:p>
        </w:tc>
        <w:tc>
          <w:tcPr>
            <w:tcW w:w="0" w:type="auto"/>
          </w:tcPr>
          <w:p w14:paraId="042BCB55" w14:textId="77777777" w:rsidR="00852AC1" w:rsidRDefault="00852AC1" w:rsidP="00852AC1">
            <w:pPr>
              <w:spacing w:before="120"/>
            </w:pPr>
          </w:p>
          <w:p w14:paraId="6B8BC13C" w14:textId="77777777" w:rsidR="00852AC1" w:rsidRDefault="00852AC1" w:rsidP="00852AC1">
            <w:pPr>
              <w:spacing w:before="120"/>
            </w:pPr>
          </w:p>
          <w:p w14:paraId="3EBBCF5F" w14:textId="77777777" w:rsidR="00852AC1" w:rsidRDefault="00852AC1">
            <w:r>
              <w:t>__________________________________</w:t>
            </w:r>
          </w:p>
          <w:p w14:paraId="4E5EC9A6" w14:textId="60ECF6E4" w:rsidR="00852AC1" w:rsidRDefault="00852AC1" w:rsidP="005E01B5">
            <w:pPr>
              <w:spacing w:before="120"/>
            </w:pPr>
            <w:r>
              <w:t>På vegne av Databehandler</w:t>
            </w:r>
          </w:p>
        </w:tc>
      </w:tr>
      <w:tr w:rsidR="00852AC1" w14:paraId="3CAB36D8" w14:textId="77777777" w:rsidTr="00852AC1">
        <w:tc>
          <w:tcPr>
            <w:tcW w:w="0" w:type="auto"/>
          </w:tcPr>
          <w:p w14:paraId="0C81311D" w14:textId="6CE17918" w:rsidR="00852AC1" w:rsidRDefault="00852AC1" w:rsidP="005E01B5">
            <w:pPr>
              <w:spacing w:before="120"/>
            </w:pPr>
            <w:r>
              <w:t>Navn:</w:t>
            </w:r>
          </w:p>
        </w:tc>
        <w:tc>
          <w:tcPr>
            <w:tcW w:w="0" w:type="auto"/>
          </w:tcPr>
          <w:p w14:paraId="5345ED3E" w14:textId="02D52D35" w:rsidR="00852AC1" w:rsidRDefault="00852AC1" w:rsidP="005E01B5">
            <w:pPr>
              <w:spacing w:before="120"/>
            </w:pPr>
            <w:r>
              <w:t>Navn:</w:t>
            </w:r>
          </w:p>
        </w:tc>
      </w:tr>
      <w:tr w:rsidR="00852AC1" w14:paraId="1E2DD4C7" w14:textId="77777777" w:rsidTr="00852AC1">
        <w:tc>
          <w:tcPr>
            <w:tcW w:w="0" w:type="auto"/>
          </w:tcPr>
          <w:p w14:paraId="0F63D5B6" w14:textId="6195F878" w:rsidR="00852AC1" w:rsidRDefault="00852AC1" w:rsidP="005E01B5">
            <w:pPr>
              <w:spacing w:before="120"/>
            </w:pPr>
            <w:r>
              <w:t>Stilling:</w:t>
            </w:r>
          </w:p>
        </w:tc>
        <w:tc>
          <w:tcPr>
            <w:tcW w:w="0" w:type="auto"/>
          </w:tcPr>
          <w:p w14:paraId="040A6769" w14:textId="61B5E0A6" w:rsidR="00852AC1" w:rsidRDefault="00852AC1" w:rsidP="005E01B5">
            <w:pPr>
              <w:spacing w:before="120"/>
            </w:pPr>
            <w:r>
              <w:t>Stilling:</w:t>
            </w:r>
          </w:p>
        </w:tc>
      </w:tr>
      <w:bookmarkEnd w:id="28"/>
    </w:tbl>
    <w:p w14:paraId="17905331" w14:textId="1DE1E45B" w:rsidR="003E2298" w:rsidRDefault="003E2298" w:rsidP="00A070BA">
      <w:pPr>
        <w:spacing w:before="120"/>
        <w:jc w:val="center"/>
      </w:pPr>
    </w:p>
    <w:p w14:paraId="120FC27B" w14:textId="6EBF842C" w:rsidR="003E2298" w:rsidRDefault="003E2298" w:rsidP="00A070BA">
      <w:pPr>
        <w:spacing w:before="120"/>
        <w:jc w:val="center"/>
      </w:pPr>
    </w:p>
    <w:p w14:paraId="443E7F39" w14:textId="25859059" w:rsidR="003E2298" w:rsidRDefault="003E2298" w:rsidP="00A070BA">
      <w:pPr>
        <w:spacing w:before="120"/>
        <w:jc w:val="center"/>
      </w:pPr>
    </w:p>
    <w:p w14:paraId="0FFF6DD1" w14:textId="33B54DEF" w:rsidR="003E2298" w:rsidRDefault="003E2298" w:rsidP="00A070BA">
      <w:pPr>
        <w:spacing w:before="120"/>
        <w:jc w:val="center"/>
      </w:pPr>
    </w:p>
    <w:p w14:paraId="4D7B902E" w14:textId="75B557BC" w:rsidR="003E2298" w:rsidRDefault="003E2298" w:rsidP="00A070BA">
      <w:pPr>
        <w:spacing w:before="120"/>
        <w:jc w:val="center"/>
      </w:pPr>
    </w:p>
    <w:p w14:paraId="48F3BE6F" w14:textId="1ECE4753" w:rsidR="003E2298" w:rsidRDefault="003E2298" w:rsidP="00A070BA">
      <w:pPr>
        <w:spacing w:before="120"/>
        <w:jc w:val="center"/>
      </w:pPr>
    </w:p>
    <w:p w14:paraId="6A92F7C4" w14:textId="75D33D92" w:rsidR="003E2298" w:rsidRDefault="003E2298" w:rsidP="003E2298">
      <w:pPr>
        <w:pStyle w:val="Overskrift2"/>
      </w:pPr>
      <w:r>
        <w:lastRenderedPageBreak/>
        <w:t>Vedlegg 1</w:t>
      </w:r>
    </w:p>
    <w:p w14:paraId="43EE01D9" w14:textId="75A4C086" w:rsidR="003E2298" w:rsidRDefault="003E2298" w:rsidP="003E2298">
      <w:pPr>
        <w:pStyle w:val="Overskrift2"/>
        <w:numPr>
          <w:ilvl w:val="0"/>
          <w:numId w:val="11"/>
        </w:numPr>
      </w:pPr>
      <w:r>
        <w:t>Formål med behandlingen</w:t>
      </w:r>
    </w:p>
    <w:p w14:paraId="4C7AC034" w14:textId="7F35C803" w:rsidR="003E2298" w:rsidRDefault="003E2298" w:rsidP="003E2298">
      <w:pPr>
        <w:rPr>
          <w:lang w:eastAsia="en-US"/>
        </w:rPr>
      </w:pPr>
      <w:r w:rsidRPr="005E01B5">
        <w:rPr>
          <w:highlight w:val="yellow"/>
          <w:lang w:eastAsia="en-US"/>
        </w:rPr>
        <w:t>[Angi formålet med behandlingen. Dette vil være å levere tjenesten i henhold til Hovedavtalen. Gi en oppsummering av hvilke tjenester Hovedavtalen går ut på.]</w:t>
      </w:r>
    </w:p>
    <w:p w14:paraId="4D4708A2" w14:textId="69B78C4E" w:rsidR="00936265" w:rsidRDefault="00936265" w:rsidP="003E2298">
      <w:pPr>
        <w:rPr>
          <w:lang w:eastAsia="en-US"/>
        </w:rPr>
      </w:pPr>
    </w:p>
    <w:p w14:paraId="385C3F75" w14:textId="300ED5E8" w:rsidR="00E55EB8" w:rsidRDefault="00E55EB8" w:rsidP="00936265">
      <w:pPr>
        <w:pStyle w:val="Overskrift2"/>
        <w:numPr>
          <w:ilvl w:val="0"/>
          <w:numId w:val="11"/>
        </w:numPr>
      </w:pPr>
      <w:r>
        <w:t>Behandlingsaktiviteter</w:t>
      </w:r>
    </w:p>
    <w:p w14:paraId="4430F47B" w14:textId="34D376B9" w:rsidR="00E55EB8" w:rsidRDefault="00E55EB8" w:rsidP="00E55EB8">
      <w:pPr>
        <w:rPr>
          <w:lang w:eastAsia="en-US"/>
        </w:rPr>
      </w:pPr>
      <w:r w:rsidRPr="005E01B5">
        <w:rPr>
          <w:highlight w:val="yellow"/>
          <w:lang w:eastAsia="en-US"/>
        </w:rPr>
        <w:t>[Angi typer behandlingsaktiviteter, for eksempel innsamling, analyse, testing, arkivering etc.]</w:t>
      </w:r>
    </w:p>
    <w:p w14:paraId="41422C23" w14:textId="77777777" w:rsidR="00E55EB8" w:rsidRPr="00FB2ABB" w:rsidRDefault="00E55EB8" w:rsidP="005E01B5"/>
    <w:p w14:paraId="418E68F3" w14:textId="0987C34E" w:rsidR="00936265" w:rsidRDefault="00936265" w:rsidP="00936265">
      <w:pPr>
        <w:pStyle w:val="Overskrift2"/>
        <w:numPr>
          <w:ilvl w:val="0"/>
          <w:numId w:val="11"/>
        </w:numPr>
      </w:pPr>
      <w:r>
        <w:t>Kategorier av datasubjekter</w:t>
      </w:r>
    </w:p>
    <w:p w14:paraId="3F499762" w14:textId="745CFF31" w:rsidR="00936265" w:rsidRDefault="00936265" w:rsidP="00936265">
      <w:pPr>
        <w:rPr>
          <w:lang w:eastAsia="en-US"/>
        </w:rPr>
      </w:pPr>
      <w:bookmarkStart w:id="29" w:name="_Hlk153202321"/>
      <w:r w:rsidRPr="005E01B5">
        <w:rPr>
          <w:highlight w:val="yellow"/>
          <w:lang w:eastAsia="en-US"/>
        </w:rPr>
        <w:t>[Angi kategorier av datasubjekter som det behandles personopplysninger om, f</w:t>
      </w:r>
      <w:r w:rsidR="00E55EB8">
        <w:rPr>
          <w:highlight w:val="yellow"/>
          <w:lang w:eastAsia="en-US"/>
        </w:rPr>
        <w:t>or eksempel</w:t>
      </w:r>
      <w:r w:rsidRPr="005E01B5">
        <w:rPr>
          <w:highlight w:val="yellow"/>
          <w:lang w:eastAsia="en-US"/>
        </w:rPr>
        <w:t xml:space="preserve"> ansatte, studenter, leverandører, etc.]</w:t>
      </w:r>
      <w:bookmarkEnd w:id="29"/>
    </w:p>
    <w:p w14:paraId="5051C00B" w14:textId="77777777" w:rsidR="00936265" w:rsidRDefault="00936265" w:rsidP="005E01B5"/>
    <w:p w14:paraId="03700204" w14:textId="0F7FC884" w:rsidR="00936265" w:rsidRDefault="00936265" w:rsidP="00936265">
      <w:pPr>
        <w:pStyle w:val="Overskrift2"/>
        <w:numPr>
          <w:ilvl w:val="0"/>
          <w:numId w:val="11"/>
        </w:numPr>
      </w:pPr>
      <w:r>
        <w:t>Typer av personopplysninger</w:t>
      </w:r>
    </w:p>
    <w:p w14:paraId="343C2F45" w14:textId="080788CC" w:rsidR="00936265" w:rsidRDefault="00936265" w:rsidP="00936265">
      <w:pPr>
        <w:rPr>
          <w:lang w:eastAsia="en-US"/>
        </w:rPr>
      </w:pPr>
      <w:bookmarkStart w:id="30" w:name="_Hlk153202333"/>
      <w:r w:rsidRPr="005E01B5">
        <w:rPr>
          <w:highlight w:val="yellow"/>
          <w:lang w:eastAsia="en-US"/>
        </w:rPr>
        <w:t>[Angi de typer personopplysninger som blir behandlet om datasubjektene, for eksempel navn, adresser, telefonnumre, e-postadresser, etc. Dersom det er relevant, oppgi også hvilke særlige kategorier av personopplysninger som blir behandlet.]</w:t>
      </w:r>
    </w:p>
    <w:p w14:paraId="78A0E6AA" w14:textId="77777777" w:rsidR="000857EF" w:rsidRDefault="000857EF" w:rsidP="00936265">
      <w:pPr>
        <w:rPr>
          <w:lang w:eastAsia="en-US"/>
        </w:rPr>
      </w:pPr>
    </w:p>
    <w:p w14:paraId="4F607E39" w14:textId="77777777" w:rsidR="000857EF" w:rsidRPr="00317EA3" w:rsidRDefault="000857EF" w:rsidP="000857EF">
      <w:pPr>
        <w:pStyle w:val="Listeavsnitt"/>
        <w:numPr>
          <w:ilvl w:val="0"/>
          <w:numId w:val="11"/>
        </w:numPr>
        <w:rPr>
          <w:rFonts w:ascii="Century Gothic" w:hAnsi="Century Gothic"/>
          <w:b/>
          <w:bCs/>
          <w:sz w:val="28"/>
          <w:szCs w:val="28"/>
          <w:lang w:eastAsia="en-US"/>
        </w:rPr>
      </w:pPr>
      <w:r w:rsidRPr="00317EA3">
        <w:rPr>
          <w:rFonts w:ascii="Century Gothic" w:hAnsi="Century Gothic"/>
          <w:b/>
          <w:bCs/>
          <w:sz w:val="28"/>
          <w:szCs w:val="28"/>
          <w:lang w:eastAsia="en-US"/>
        </w:rPr>
        <w:t>Instrukser</w:t>
      </w:r>
    </w:p>
    <w:p w14:paraId="43D72EBE" w14:textId="77777777" w:rsidR="000857EF" w:rsidRDefault="000857EF" w:rsidP="000857EF">
      <w:pPr>
        <w:rPr>
          <w:lang w:eastAsia="en-US"/>
        </w:rPr>
      </w:pPr>
    </w:p>
    <w:p w14:paraId="3129074A" w14:textId="77777777" w:rsidR="000857EF" w:rsidRDefault="000857EF" w:rsidP="000857EF">
      <w:pPr>
        <w:rPr>
          <w:lang w:eastAsia="en-US"/>
        </w:rPr>
      </w:pPr>
      <w:r w:rsidRPr="002076A8">
        <w:rPr>
          <w:highlight w:val="yellow"/>
          <w:lang w:eastAsia="en-US"/>
        </w:rPr>
        <w:t xml:space="preserve">[Formuler en instruks for datahåndtering der det opplyses hvordan data skal samles inn, sendes, deles, </w:t>
      </w:r>
      <w:r>
        <w:rPr>
          <w:highlight w:val="yellow"/>
          <w:lang w:eastAsia="en-US"/>
        </w:rPr>
        <w:t xml:space="preserve">analyseres, </w:t>
      </w:r>
      <w:r w:rsidRPr="002076A8">
        <w:rPr>
          <w:highlight w:val="yellow"/>
          <w:lang w:eastAsia="en-US"/>
        </w:rPr>
        <w:t>lagres</w:t>
      </w:r>
      <w:r>
        <w:rPr>
          <w:highlight w:val="yellow"/>
          <w:lang w:eastAsia="en-US"/>
        </w:rPr>
        <w:t>, hvilke digitale verktøy som skal brukes</w:t>
      </w:r>
      <w:r w:rsidRPr="002076A8">
        <w:rPr>
          <w:highlight w:val="yellow"/>
          <w:lang w:eastAsia="en-US"/>
        </w:rPr>
        <w:t xml:space="preserve"> m.m.]</w:t>
      </w:r>
    </w:p>
    <w:p w14:paraId="0E097AAD" w14:textId="77777777" w:rsidR="000857EF" w:rsidRDefault="000857EF" w:rsidP="000857EF">
      <w:pPr>
        <w:rPr>
          <w:lang w:eastAsia="en-US"/>
        </w:rPr>
      </w:pPr>
    </w:p>
    <w:p w14:paraId="1CB3FBB1" w14:textId="77777777" w:rsidR="000857EF" w:rsidRDefault="000857EF" w:rsidP="000857EF">
      <w:pPr>
        <w:pStyle w:val="Listeavsnitt"/>
        <w:numPr>
          <w:ilvl w:val="0"/>
          <w:numId w:val="11"/>
        </w:numPr>
        <w:rPr>
          <w:rFonts w:ascii="Century Gothic" w:hAnsi="Century Gothic"/>
          <w:b/>
          <w:bCs/>
          <w:sz w:val="28"/>
          <w:szCs w:val="28"/>
          <w:lang w:eastAsia="en-US"/>
        </w:rPr>
      </w:pPr>
      <w:r>
        <w:rPr>
          <w:rFonts w:ascii="Century Gothic" w:hAnsi="Century Gothic"/>
          <w:b/>
          <w:bCs/>
          <w:sz w:val="28"/>
          <w:szCs w:val="28"/>
          <w:lang w:eastAsia="en-US"/>
        </w:rPr>
        <w:t>Informasjonssikkerhet</w:t>
      </w:r>
    </w:p>
    <w:p w14:paraId="3FCB7BA9" w14:textId="77777777" w:rsidR="000857EF" w:rsidRDefault="000857EF" w:rsidP="000857EF">
      <w:pPr>
        <w:pStyle w:val="Listeavsnitt"/>
        <w:ind w:left="360"/>
        <w:rPr>
          <w:rFonts w:ascii="Century Gothic" w:hAnsi="Century Gothic"/>
          <w:b/>
          <w:bCs/>
          <w:sz w:val="28"/>
          <w:szCs w:val="28"/>
          <w:lang w:eastAsia="en-US"/>
        </w:rPr>
      </w:pPr>
    </w:p>
    <w:p w14:paraId="62646D1C" w14:textId="324D8D3D" w:rsidR="000857EF" w:rsidRDefault="000857EF" w:rsidP="00936265">
      <w:pPr>
        <w:rPr>
          <w:lang w:eastAsia="en-US"/>
        </w:rPr>
      </w:pPr>
      <w:r w:rsidRPr="002076A8">
        <w:rPr>
          <w:highlight w:val="yellow"/>
          <w:lang w:eastAsia="en-US"/>
        </w:rPr>
        <w:t>[</w:t>
      </w:r>
      <w:r>
        <w:rPr>
          <w:highlight w:val="yellow"/>
          <w:lang w:eastAsia="en-US"/>
        </w:rPr>
        <w:t>Gi en spesifikasjon av iverksatte sikkerhetstiltak der det</w:t>
      </w:r>
      <w:r w:rsidRPr="002076A8">
        <w:rPr>
          <w:highlight w:val="yellow"/>
          <w:lang w:eastAsia="en-US"/>
        </w:rPr>
        <w:t xml:space="preserve"> opplyses </w:t>
      </w:r>
      <w:r w:rsidRPr="007E602E">
        <w:rPr>
          <w:highlight w:val="yellow"/>
        </w:rPr>
        <w:t>egnede tekniske, fysiske og organisatoriske sikringstiltak for å oppnå et sikkerhetsnivå som er egnet med hensyn til risikoen</w:t>
      </w:r>
      <w:r>
        <w:rPr>
          <w:highlight w:val="yellow"/>
        </w:rPr>
        <w:t>, for å hindre</w:t>
      </w:r>
      <w:r>
        <w:t xml:space="preserve"> </w:t>
      </w:r>
      <w:r w:rsidRPr="009F5611">
        <w:rPr>
          <w:highlight w:val="yellow"/>
        </w:rPr>
        <w:t>uautorisert eller ulovlig tilgang, endring, sletting, skade, tap eller utilgjengelighet.</w:t>
      </w:r>
      <w:r w:rsidRPr="002076A8">
        <w:rPr>
          <w:highlight w:val="yellow"/>
          <w:lang w:eastAsia="en-US"/>
        </w:rPr>
        <w:t>]</w:t>
      </w:r>
    </w:p>
    <w:bookmarkEnd w:id="30"/>
    <w:p w14:paraId="0875AB7B" w14:textId="3F7C6647" w:rsidR="00936265" w:rsidRDefault="00936265" w:rsidP="00936265">
      <w:pPr>
        <w:rPr>
          <w:lang w:eastAsia="en-US"/>
        </w:rPr>
      </w:pPr>
    </w:p>
    <w:p w14:paraId="226C75D4" w14:textId="103F4D22" w:rsidR="00936265" w:rsidRDefault="00936265" w:rsidP="00936265">
      <w:pPr>
        <w:pStyle w:val="Overskrift2"/>
        <w:numPr>
          <w:ilvl w:val="0"/>
          <w:numId w:val="11"/>
        </w:numPr>
      </w:pPr>
      <w:r>
        <w:t>Underleverandører i EU/EØS</w:t>
      </w:r>
    </w:p>
    <w:tbl>
      <w:tblPr>
        <w:tblStyle w:val="Tabellrutenett"/>
        <w:tblW w:w="0" w:type="auto"/>
        <w:tblLook w:val="04A0" w:firstRow="1" w:lastRow="0" w:firstColumn="1" w:lastColumn="0" w:noHBand="0" w:noVBand="1"/>
      </w:tblPr>
      <w:tblGrid>
        <w:gridCol w:w="1310"/>
        <w:gridCol w:w="2337"/>
      </w:tblGrid>
      <w:tr w:rsidR="00936265" w14:paraId="12C032B2" w14:textId="77777777" w:rsidTr="005E01B5">
        <w:tc>
          <w:tcPr>
            <w:tcW w:w="0" w:type="auto"/>
            <w:shd w:val="clear" w:color="auto" w:fill="D9D9D9" w:themeFill="background1" w:themeFillShade="D9"/>
          </w:tcPr>
          <w:p w14:paraId="083EC6E8" w14:textId="393DB10B" w:rsidR="00936265" w:rsidRPr="005E01B5" w:rsidRDefault="00936265" w:rsidP="00936265">
            <w:pPr>
              <w:rPr>
                <w:b/>
                <w:bCs/>
                <w:lang w:eastAsia="en-US"/>
              </w:rPr>
            </w:pPr>
            <w:bookmarkStart w:id="31" w:name="_Hlk153202464"/>
            <w:r w:rsidRPr="005E01B5">
              <w:rPr>
                <w:b/>
                <w:bCs/>
                <w:lang w:eastAsia="en-US"/>
              </w:rPr>
              <w:t>Navn</w:t>
            </w:r>
          </w:p>
        </w:tc>
        <w:tc>
          <w:tcPr>
            <w:tcW w:w="0" w:type="auto"/>
            <w:shd w:val="clear" w:color="auto" w:fill="D9D9D9" w:themeFill="background1" w:themeFillShade="D9"/>
          </w:tcPr>
          <w:p w14:paraId="6B61672E" w14:textId="1058BF59" w:rsidR="00936265" w:rsidRPr="005E01B5" w:rsidRDefault="000257E4" w:rsidP="00936265">
            <w:pPr>
              <w:rPr>
                <w:b/>
                <w:bCs/>
                <w:lang w:eastAsia="en-US"/>
              </w:rPr>
            </w:pPr>
            <w:r>
              <w:rPr>
                <w:b/>
                <w:bCs/>
                <w:lang w:eastAsia="en-US"/>
              </w:rPr>
              <w:t>Behandlingsaktivitet</w:t>
            </w:r>
          </w:p>
        </w:tc>
      </w:tr>
      <w:tr w:rsidR="00936265" w14:paraId="303FD5FC" w14:textId="77777777" w:rsidTr="00936265">
        <w:tc>
          <w:tcPr>
            <w:tcW w:w="0" w:type="auto"/>
          </w:tcPr>
          <w:p w14:paraId="72658830" w14:textId="724E1FB4" w:rsidR="00936265" w:rsidRDefault="00936265" w:rsidP="00936265">
            <w:pPr>
              <w:rPr>
                <w:lang w:eastAsia="en-US"/>
              </w:rPr>
            </w:pPr>
            <w:r w:rsidRPr="00827CAA">
              <w:rPr>
                <w:highlight w:val="yellow"/>
                <w:lang w:eastAsia="en-US"/>
              </w:rPr>
              <w:t>[Schibsted]</w:t>
            </w:r>
          </w:p>
        </w:tc>
        <w:tc>
          <w:tcPr>
            <w:tcW w:w="0" w:type="auto"/>
          </w:tcPr>
          <w:p w14:paraId="3C269C1D" w14:textId="3A232A9C" w:rsidR="00936265" w:rsidRDefault="00936265" w:rsidP="00936265">
            <w:pPr>
              <w:rPr>
                <w:lang w:eastAsia="en-US"/>
              </w:rPr>
            </w:pPr>
            <w:r w:rsidRPr="00827CAA">
              <w:rPr>
                <w:highlight w:val="yellow"/>
                <w:lang w:eastAsia="en-US"/>
              </w:rPr>
              <w:t>[Markedsføring]</w:t>
            </w:r>
          </w:p>
        </w:tc>
      </w:tr>
      <w:tr w:rsidR="00936265" w14:paraId="04E47CC5" w14:textId="77777777" w:rsidTr="00936265">
        <w:tc>
          <w:tcPr>
            <w:tcW w:w="0" w:type="auto"/>
          </w:tcPr>
          <w:p w14:paraId="1C00E909" w14:textId="77777777" w:rsidR="00936265" w:rsidRDefault="00936265" w:rsidP="00936265">
            <w:pPr>
              <w:rPr>
                <w:lang w:eastAsia="en-US"/>
              </w:rPr>
            </w:pPr>
          </w:p>
        </w:tc>
        <w:tc>
          <w:tcPr>
            <w:tcW w:w="0" w:type="auto"/>
          </w:tcPr>
          <w:p w14:paraId="69F8B27E" w14:textId="77777777" w:rsidR="00936265" w:rsidRDefault="00936265" w:rsidP="00936265">
            <w:pPr>
              <w:rPr>
                <w:lang w:eastAsia="en-US"/>
              </w:rPr>
            </w:pPr>
          </w:p>
        </w:tc>
      </w:tr>
      <w:tr w:rsidR="00936265" w14:paraId="7589AE52" w14:textId="77777777" w:rsidTr="00936265">
        <w:tc>
          <w:tcPr>
            <w:tcW w:w="0" w:type="auto"/>
          </w:tcPr>
          <w:p w14:paraId="4C9341BF" w14:textId="77777777" w:rsidR="00936265" w:rsidRDefault="00936265" w:rsidP="00936265">
            <w:pPr>
              <w:rPr>
                <w:lang w:eastAsia="en-US"/>
              </w:rPr>
            </w:pPr>
          </w:p>
        </w:tc>
        <w:tc>
          <w:tcPr>
            <w:tcW w:w="0" w:type="auto"/>
          </w:tcPr>
          <w:p w14:paraId="484E0E5C" w14:textId="77777777" w:rsidR="00936265" w:rsidRDefault="00936265" w:rsidP="00936265">
            <w:pPr>
              <w:rPr>
                <w:lang w:eastAsia="en-US"/>
              </w:rPr>
            </w:pPr>
          </w:p>
        </w:tc>
      </w:tr>
      <w:bookmarkEnd w:id="31"/>
    </w:tbl>
    <w:p w14:paraId="788133F3" w14:textId="008557B0" w:rsidR="00936265" w:rsidRDefault="00936265" w:rsidP="00936265">
      <w:pPr>
        <w:rPr>
          <w:lang w:eastAsia="en-US"/>
        </w:rPr>
      </w:pPr>
    </w:p>
    <w:p w14:paraId="1681A9D8" w14:textId="3B292C70" w:rsidR="00936265" w:rsidRPr="00936265" w:rsidRDefault="00936265" w:rsidP="00936265">
      <w:pPr>
        <w:pStyle w:val="Overskrift2"/>
        <w:numPr>
          <w:ilvl w:val="0"/>
          <w:numId w:val="11"/>
        </w:numPr>
      </w:pPr>
      <w:r>
        <w:t>Underleverandører utenfor EU EØS</w:t>
      </w:r>
    </w:p>
    <w:tbl>
      <w:tblPr>
        <w:tblStyle w:val="Tabellrutenett"/>
        <w:tblW w:w="0" w:type="auto"/>
        <w:tblLook w:val="04A0" w:firstRow="1" w:lastRow="0" w:firstColumn="1" w:lastColumn="0" w:noHBand="0" w:noVBand="1"/>
      </w:tblPr>
      <w:tblGrid>
        <w:gridCol w:w="1969"/>
        <w:gridCol w:w="2337"/>
        <w:gridCol w:w="856"/>
        <w:gridCol w:w="2789"/>
      </w:tblGrid>
      <w:tr w:rsidR="00936265" w14:paraId="04B67CA8" w14:textId="77777777" w:rsidTr="00936265">
        <w:tc>
          <w:tcPr>
            <w:tcW w:w="0" w:type="auto"/>
            <w:shd w:val="clear" w:color="auto" w:fill="D9D9D9" w:themeFill="background1" w:themeFillShade="D9"/>
          </w:tcPr>
          <w:p w14:paraId="56DF16A2" w14:textId="6428BA05" w:rsidR="00936265" w:rsidRPr="005E01B5" w:rsidRDefault="00936265" w:rsidP="00936265">
            <w:pPr>
              <w:rPr>
                <w:b/>
                <w:bCs/>
                <w:lang w:eastAsia="en-US"/>
              </w:rPr>
            </w:pPr>
            <w:bookmarkStart w:id="32" w:name="_Hlk153202479"/>
            <w:r w:rsidRPr="005E01B5">
              <w:rPr>
                <w:b/>
                <w:bCs/>
                <w:lang w:eastAsia="en-US"/>
              </w:rPr>
              <w:t>Navn</w:t>
            </w:r>
          </w:p>
        </w:tc>
        <w:tc>
          <w:tcPr>
            <w:tcW w:w="0" w:type="auto"/>
            <w:shd w:val="clear" w:color="auto" w:fill="D9D9D9" w:themeFill="background1" w:themeFillShade="D9"/>
          </w:tcPr>
          <w:p w14:paraId="47741E8A" w14:textId="2B1C0933" w:rsidR="00936265" w:rsidRPr="005E01B5" w:rsidRDefault="000257E4" w:rsidP="00936265">
            <w:pPr>
              <w:rPr>
                <w:b/>
                <w:bCs/>
                <w:lang w:eastAsia="en-US"/>
              </w:rPr>
            </w:pPr>
            <w:r>
              <w:rPr>
                <w:b/>
                <w:bCs/>
                <w:lang w:eastAsia="en-US"/>
              </w:rPr>
              <w:t>Behandlingsaktivitet</w:t>
            </w:r>
          </w:p>
        </w:tc>
        <w:tc>
          <w:tcPr>
            <w:tcW w:w="0" w:type="auto"/>
            <w:shd w:val="clear" w:color="auto" w:fill="D9D9D9" w:themeFill="background1" w:themeFillShade="D9"/>
          </w:tcPr>
          <w:p w14:paraId="4CC47E3B" w14:textId="7DCEC6DF" w:rsidR="00936265" w:rsidRPr="005E01B5" w:rsidRDefault="00936265" w:rsidP="00936265">
            <w:pPr>
              <w:rPr>
                <w:b/>
                <w:bCs/>
                <w:lang w:eastAsia="en-US"/>
              </w:rPr>
            </w:pPr>
            <w:r w:rsidRPr="005E01B5">
              <w:rPr>
                <w:b/>
                <w:bCs/>
                <w:lang w:eastAsia="en-US"/>
              </w:rPr>
              <w:t>Land</w:t>
            </w:r>
          </w:p>
        </w:tc>
        <w:tc>
          <w:tcPr>
            <w:tcW w:w="0" w:type="auto"/>
            <w:shd w:val="clear" w:color="auto" w:fill="D9D9D9" w:themeFill="background1" w:themeFillShade="D9"/>
          </w:tcPr>
          <w:p w14:paraId="292B7F11" w14:textId="4431E604" w:rsidR="00936265" w:rsidRPr="005E01B5" w:rsidRDefault="00936265" w:rsidP="00936265">
            <w:pPr>
              <w:rPr>
                <w:b/>
                <w:bCs/>
                <w:lang w:eastAsia="en-US"/>
              </w:rPr>
            </w:pPr>
            <w:r w:rsidRPr="005E01B5">
              <w:rPr>
                <w:b/>
                <w:bCs/>
                <w:lang w:eastAsia="en-US"/>
              </w:rPr>
              <w:t>Overføringsgrunnlag</w:t>
            </w:r>
          </w:p>
        </w:tc>
      </w:tr>
      <w:tr w:rsidR="00936265" w14:paraId="41C69E25" w14:textId="77777777" w:rsidTr="00936265">
        <w:tc>
          <w:tcPr>
            <w:tcW w:w="0" w:type="auto"/>
          </w:tcPr>
          <w:p w14:paraId="67D8E576" w14:textId="40731F7D" w:rsidR="00936265" w:rsidRDefault="00936265" w:rsidP="00936265">
            <w:pPr>
              <w:rPr>
                <w:lang w:eastAsia="en-US"/>
              </w:rPr>
            </w:pPr>
            <w:r w:rsidRPr="005E01B5">
              <w:rPr>
                <w:highlight w:val="yellow"/>
                <w:lang w:eastAsia="en-US"/>
              </w:rPr>
              <w:t xml:space="preserve">[Microsoft </w:t>
            </w:r>
            <w:proofErr w:type="spellStart"/>
            <w:r w:rsidRPr="005E01B5">
              <w:rPr>
                <w:highlight w:val="yellow"/>
                <w:lang w:eastAsia="en-US"/>
              </w:rPr>
              <w:t>Azure</w:t>
            </w:r>
            <w:proofErr w:type="spellEnd"/>
            <w:r w:rsidRPr="005E01B5">
              <w:rPr>
                <w:highlight w:val="yellow"/>
                <w:lang w:eastAsia="en-US"/>
              </w:rPr>
              <w:t>]</w:t>
            </w:r>
          </w:p>
        </w:tc>
        <w:tc>
          <w:tcPr>
            <w:tcW w:w="0" w:type="auto"/>
          </w:tcPr>
          <w:p w14:paraId="06E7D50F" w14:textId="7FAD0DDB" w:rsidR="00936265" w:rsidRDefault="00936265" w:rsidP="00936265">
            <w:pPr>
              <w:rPr>
                <w:lang w:eastAsia="en-US"/>
              </w:rPr>
            </w:pPr>
            <w:r w:rsidRPr="005E01B5">
              <w:rPr>
                <w:highlight w:val="yellow"/>
                <w:lang w:eastAsia="en-US"/>
              </w:rPr>
              <w:t>[Skyleverandør]</w:t>
            </w:r>
          </w:p>
        </w:tc>
        <w:tc>
          <w:tcPr>
            <w:tcW w:w="0" w:type="auto"/>
          </w:tcPr>
          <w:p w14:paraId="06E5573A" w14:textId="73C931F2" w:rsidR="00936265" w:rsidRDefault="00936265" w:rsidP="00936265">
            <w:pPr>
              <w:rPr>
                <w:lang w:eastAsia="en-US"/>
              </w:rPr>
            </w:pPr>
            <w:r w:rsidRPr="005E01B5">
              <w:rPr>
                <w:highlight w:val="yellow"/>
                <w:lang w:eastAsia="en-US"/>
              </w:rPr>
              <w:t>[USA]</w:t>
            </w:r>
          </w:p>
        </w:tc>
        <w:tc>
          <w:tcPr>
            <w:tcW w:w="0" w:type="auto"/>
          </w:tcPr>
          <w:p w14:paraId="274FF715" w14:textId="4A55FC8C" w:rsidR="00936265" w:rsidRDefault="00936265" w:rsidP="00936265">
            <w:pPr>
              <w:rPr>
                <w:lang w:eastAsia="en-US"/>
              </w:rPr>
            </w:pPr>
            <w:r w:rsidRPr="005E01B5">
              <w:rPr>
                <w:highlight w:val="yellow"/>
                <w:lang w:eastAsia="en-US"/>
              </w:rPr>
              <w:t xml:space="preserve">[Data </w:t>
            </w:r>
            <w:proofErr w:type="spellStart"/>
            <w:r w:rsidRPr="005E01B5">
              <w:rPr>
                <w:highlight w:val="yellow"/>
                <w:lang w:eastAsia="en-US"/>
              </w:rPr>
              <w:t>Privacy</w:t>
            </w:r>
            <w:proofErr w:type="spellEnd"/>
            <w:r w:rsidRPr="005E01B5">
              <w:rPr>
                <w:highlight w:val="yellow"/>
                <w:lang w:eastAsia="en-US"/>
              </w:rPr>
              <w:t xml:space="preserve"> Framework]</w:t>
            </w:r>
          </w:p>
        </w:tc>
      </w:tr>
      <w:tr w:rsidR="00936265" w14:paraId="701E555A" w14:textId="77777777" w:rsidTr="00936265">
        <w:tc>
          <w:tcPr>
            <w:tcW w:w="0" w:type="auto"/>
          </w:tcPr>
          <w:p w14:paraId="7BADD026" w14:textId="7C8AE896" w:rsidR="00936265" w:rsidRDefault="00936265" w:rsidP="00936265">
            <w:pPr>
              <w:rPr>
                <w:lang w:eastAsia="en-US"/>
              </w:rPr>
            </w:pPr>
            <w:bookmarkStart w:id="33" w:name="_Hlk152681871"/>
          </w:p>
        </w:tc>
        <w:tc>
          <w:tcPr>
            <w:tcW w:w="0" w:type="auto"/>
          </w:tcPr>
          <w:p w14:paraId="5617326C" w14:textId="10FAB1FD" w:rsidR="00936265" w:rsidRDefault="00936265" w:rsidP="00936265">
            <w:pPr>
              <w:rPr>
                <w:lang w:eastAsia="en-US"/>
              </w:rPr>
            </w:pPr>
          </w:p>
        </w:tc>
        <w:tc>
          <w:tcPr>
            <w:tcW w:w="0" w:type="auto"/>
          </w:tcPr>
          <w:p w14:paraId="52F6335F" w14:textId="2306BDBD" w:rsidR="00936265" w:rsidRDefault="00936265" w:rsidP="00936265">
            <w:pPr>
              <w:rPr>
                <w:lang w:eastAsia="en-US"/>
              </w:rPr>
            </w:pPr>
          </w:p>
        </w:tc>
        <w:tc>
          <w:tcPr>
            <w:tcW w:w="0" w:type="auto"/>
          </w:tcPr>
          <w:p w14:paraId="4A1DB10E" w14:textId="38A67552" w:rsidR="00936265" w:rsidRDefault="00936265" w:rsidP="00936265">
            <w:pPr>
              <w:rPr>
                <w:lang w:eastAsia="en-US"/>
              </w:rPr>
            </w:pPr>
          </w:p>
        </w:tc>
      </w:tr>
      <w:bookmarkEnd w:id="33"/>
      <w:tr w:rsidR="00936265" w14:paraId="62A3EEA8" w14:textId="77777777" w:rsidTr="00936265">
        <w:tc>
          <w:tcPr>
            <w:tcW w:w="0" w:type="auto"/>
          </w:tcPr>
          <w:p w14:paraId="56BD53C8" w14:textId="77777777" w:rsidR="00936265" w:rsidRDefault="00936265" w:rsidP="00936265">
            <w:pPr>
              <w:rPr>
                <w:lang w:eastAsia="en-US"/>
              </w:rPr>
            </w:pPr>
          </w:p>
        </w:tc>
        <w:tc>
          <w:tcPr>
            <w:tcW w:w="0" w:type="auto"/>
          </w:tcPr>
          <w:p w14:paraId="384403B0" w14:textId="77777777" w:rsidR="00936265" w:rsidRDefault="00936265" w:rsidP="00936265">
            <w:pPr>
              <w:rPr>
                <w:lang w:eastAsia="en-US"/>
              </w:rPr>
            </w:pPr>
          </w:p>
        </w:tc>
        <w:tc>
          <w:tcPr>
            <w:tcW w:w="0" w:type="auto"/>
          </w:tcPr>
          <w:p w14:paraId="244E3D39" w14:textId="77777777" w:rsidR="00936265" w:rsidRDefault="00936265" w:rsidP="00936265">
            <w:pPr>
              <w:rPr>
                <w:lang w:eastAsia="en-US"/>
              </w:rPr>
            </w:pPr>
          </w:p>
        </w:tc>
        <w:tc>
          <w:tcPr>
            <w:tcW w:w="0" w:type="auto"/>
          </w:tcPr>
          <w:p w14:paraId="688F75B7" w14:textId="77777777" w:rsidR="00936265" w:rsidRDefault="00936265" w:rsidP="00936265">
            <w:pPr>
              <w:rPr>
                <w:lang w:eastAsia="en-US"/>
              </w:rPr>
            </w:pPr>
          </w:p>
        </w:tc>
      </w:tr>
      <w:bookmarkEnd w:id="32"/>
    </w:tbl>
    <w:p w14:paraId="71B99C73" w14:textId="119669C9" w:rsidR="00936265" w:rsidRDefault="00936265" w:rsidP="00936265">
      <w:pPr>
        <w:rPr>
          <w:lang w:eastAsia="en-US"/>
        </w:rPr>
      </w:pPr>
    </w:p>
    <w:p w14:paraId="52650B47" w14:textId="79504BBC" w:rsidR="00936265" w:rsidRDefault="00936265" w:rsidP="00936265">
      <w:pPr>
        <w:pStyle w:val="Overskrift2"/>
        <w:numPr>
          <w:ilvl w:val="0"/>
          <w:numId w:val="11"/>
        </w:numPr>
      </w:pPr>
      <w:r>
        <w:lastRenderedPageBreak/>
        <w:t>Kontaktpersoner</w:t>
      </w:r>
    </w:p>
    <w:p w14:paraId="1876601D" w14:textId="13ECFE3D" w:rsidR="00936265" w:rsidRDefault="00936265" w:rsidP="00936265">
      <w:pPr>
        <w:rPr>
          <w:lang w:eastAsia="en-US"/>
        </w:rPr>
      </w:pPr>
      <w:bookmarkStart w:id="34" w:name="_Hlk153202249"/>
      <w:r>
        <w:rPr>
          <w:lang w:eastAsia="en-US"/>
        </w:rPr>
        <w:t xml:space="preserve">Kontaktperson for Behandlingsansvarlig: </w:t>
      </w:r>
      <w:r w:rsidR="00E55EB8" w:rsidRPr="005E01B5">
        <w:rPr>
          <w:highlight w:val="yellow"/>
          <w:lang w:eastAsia="en-US"/>
        </w:rPr>
        <w:t>[Navn, e-post, telefon]</w:t>
      </w:r>
    </w:p>
    <w:p w14:paraId="05E218D8" w14:textId="723716BC" w:rsidR="00E55EB8" w:rsidRDefault="00E55EB8" w:rsidP="00936265">
      <w:pPr>
        <w:rPr>
          <w:lang w:eastAsia="en-US"/>
        </w:rPr>
      </w:pPr>
    </w:p>
    <w:p w14:paraId="46700F60" w14:textId="1353F9DF" w:rsidR="00E55EB8" w:rsidRPr="005E01B5" w:rsidRDefault="00E55EB8" w:rsidP="005E01B5">
      <w:pPr>
        <w:rPr>
          <w:lang w:eastAsia="en-US"/>
        </w:rPr>
      </w:pPr>
      <w:r>
        <w:rPr>
          <w:lang w:eastAsia="en-US"/>
        </w:rPr>
        <w:t xml:space="preserve">Kontaktperson for Databehandler: </w:t>
      </w:r>
      <w:r w:rsidRPr="005E01B5">
        <w:rPr>
          <w:highlight w:val="yellow"/>
          <w:lang w:eastAsia="en-US"/>
        </w:rPr>
        <w:t>[Navn, e-post, telefon]</w:t>
      </w:r>
      <w:bookmarkEnd w:id="34"/>
    </w:p>
    <w:sectPr w:rsidR="00E55EB8" w:rsidRPr="005E01B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5C2DF" w14:textId="77777777" w:rsidR="00B66123" w:rsidRDefault="00B66123" w:rsidP="00D25012">
      <w:r>
        <w:separator/>
      </w:r>
    </w:p>
  </w:endnote>
  <w:endnote w:type="continuationSeparator" w:id="0">
    <w:p w14:paraId="1851BCDD" w14:textId="77777777" w:rsidR="00B66123" w:rsidRDefault="00B66123"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607A" w14:textId="77777777" w:rsidR="00532E19" w:rsidRDefault="00532E1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8B86" w14:textId="4DD8EEE2" w:rsidR="00DC0737" w:rsidRDefault="00DC0737">
    <w:pPr>
      <w:pStyle w:val="Bunntekst"/>
    </w:pPr>
    <w:r>
      <w:fldChar w:fldCharType="begin"/>
    </w:r>
    <w:r>
      <w:instrText xml:space="preserve"> TIME \@ "dd.MM.yyyy" </w:instrText>
    </w:r>
    <w:r>
      <w:fldChar w:fldCharType="separate"/>
    </w:r>
    <w:r w:rsidR="00A30A3D">
      <w:rPr>
        <w:noProof/>
      </w:rPr>
      <w:t>22.03.2024</w:t>
    </w:r>
    <w:r>
      <w:fldChar w:fldCharType="end"/>
    </w:r>
  </w:p>
  <w:p w14:paraId="0AE6C0FD" w14:textId="77777777" w:rsidR="00DC0737" w:rsidRDefault="00DC07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C7F2" w14:textId="77777777" w:rsidR="00532E19" w:rsidRDefault="00532E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0DE2" w14:textId="77777777" w:rsidR="00B66123" w:rsidRDefault="00B66123" w:rsidP="00D25012">
      <w:r>
        <w:separator/>
      </w:r>
    </w:p>
  </w:footnote>
  <w:footnote w:type="continuationSeparator" w:id="0">
    <w:p w14:paraId="64CC2E47" w14:textId="77777777" w:rsidR="00B66123" w:rsidRDefault="00B66123"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4292" w14:textId="77777777" w:rsidR="00532E19" w:rsidRDefault="00532E1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06BB" w14:textId="32D891AA" w:rsidR="00DC0737" w:rsidRDefault="00DC0737" w:rsidP="00DC0737">
    <w:pPr>
      <w:pStyle w:val="Topptekst"/>
      <w:jc w:val="right"/>
    </w:pPr>
  </w:p>
  <w:p w14:paraId="5D9263EC" w14:textId="77777777" w:rsidR="00DC0737" w:rsidRDefault="00DC07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E046" w14:textId="77777777" w:rsidR="00532E19" w:rsidRDefault="00532E1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90265B7"/>
    <w:multiLevelType w:val="hybridMultilevel"/>
    <w:tmpl w:val="5686DDD8"/>
    <w:lvl w:ilvl="0" w:tplc="04140019">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126271184">
    <w:abstractNumId w:val="10"/>
  </w:num>
  <w:num w:numId="2" w16cid:durableId="582180060">
    <w:abstractNumId w:val="3"/>
  </w:num>
  <w:num w:numId="3" w16cid:durableId="826550335">
    <w:abstractNumId w:val="9"/>
  </w:num>
  <w:num w:numId="4" w16cid:durableId="2046633090">
    <w:abstractNumId w:val="1"/>
  </w:num>
  <w:num w:numId="5" w16cid:durableId="653995037">
    <w:abstractNumId w:val="5"/>
  </w:num>
  <w:num w:numId="6" w16cid:durableId="1405759827">
    <w:abstractNumId w:val="6"/>
  </w:num>
  <w:num w:numId="7" w16cid:durableId="848833287">
    <w:abstractNumId w:val="0"/>
  </w:num>
  <w:num w:numId="8" w16cid:durableId="1122577697">
    <w:abstractNumId w:val="2"/>
  </w:num>
  <w:num w:numId="9" w16cid:durableId="1248536354">
    <w:abstractNumId w:val="4"/>
  </w:num>
  <w:num w:numId="10" w16cid:durableId="1186598504">
    <w:abstractNumId w:val="7"/>
  </w:num>
  <w:num w:numId="11" w16cid:durableId="613485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217BC"/>
    <w:rsid w:val="000257E4"/>
    <w:rsid w:val="000307AC"/>
    <w:rsid w:val="00032379"/>
    <w:rsid w:val="00037A55"/>
    <w:rsid w:val="00061054"/>
    <w:rsid w:val="00071F39"/>
    <w:rsid w:val="00076E42"/>
    <w:rsid w:val="000857EF"/>
    <w:rsid w:val="000A081D"/>
    <w:rsid w:val="000B33D3"/>
    <w:rsid w:val="000B4BE2"/>
    <w:rsid w:val="000C3011"/>
    <w:rsid w:val="000C628F"/>
    <w:rsid w:val="000C6541"/>
    <w:rsid w:val="000D0489"/>
    <w:rsid w:val="000E0C70"/>
    <w:rsid w:val="000F0F91"/>
    <w:rsid w:val="001100CA"/>
    <w:rsid w:val="00111B01"/>
    <w:rsid w:val="001345D6"/>
    <w:rsid w:val="00135F44"/>
    <w:rsid w:val="001465A8"/>
    <w:rsid w:val="00153214"/>
    <w:rsid w:val="00156942"/>
    <w:rsid w:val="00162B89"/>
    <w:rsid w:val="001813C9"/>
    <w:rsid w:val="00182055"/>
    <w:rsid w:val="001A6273"/>
    <w:rsid w:val="001A75E6"/>
    <w:rsid w:val="001A77A4"/>
    <w:rsid w:val="001B1E94"/>
    <w:rsid w:val="001B2E79"/>
    <w:rsid w:val="001B4BC2"/>
    <w:rsid w:val="001C4819"/>
    <w:rsid w:val="001C6FCF"/>
    <w:rsid w:val="001D1B43"/>
    <w:rsid w:val="001E0D63"/>
    <w:rsid w:val="001E27C0"/>
    <w:rsid w:val="001E3353"/>
    <w:rsid w:val="001E69A8"/>
    <w:rsid w:val="001F5C65"/>
    <w:rsid w:val="0021123B"/>
    <w:rsid w:val="002213F6"/>
    <w:rsid w:val="00226945"/>
    <w:rsid w:val="00231589"/>
    <w:rsid w:val="00240329"/>
    <w:rsid w:val="00240DA2"/>
    <w:rsid w:val="00247299"/>
    <w:rsid w:val="0026470B"/>
    <w:rsid w:val="002725B4"/>
    <w:rsid w:val="00276775"/>
    <w:rsid w:val="002806C1"/>
    <w:rsid w:val="00284714"/>
    <w:rsid w:val="002A7083"/>
    <w:rsid w:val="002A7E8B"/>
    <w:rsid w:val="002D271A"/>
    <w:rsid w:val="002D30A2"/>
    <w:rsid w:val="002D4A72"/>
    <w:rsid w:val="002D4B20"/>
    <w:rsid w:val="002E1E97"/>
    <w:rsid w:val="002E76B2"/>
    <w:rsid w:val="002F67C5"/>
    <w:rsid w:val="003026A3"/>
    <w:rsid w:val="00316805"/>
    <w:rsid w:val="0032684B"/>
    <w:rsid w:val="00330AD1"/>
    <w:rsid w:val="0033631C"/>
    <w:rsid w:val="0033643B"/>
    <w:rsid w:val="0035780D"/>
    <w:rsid w:val="0036260D"/>
    <w:rsid w:val="0036352B"/>
    <w:rsid w:val="00371489"/>
    <w:rsid w:val="00376136"/>
    <w:rsid w:val="003775D5"/>
    <w:rsid w:val="003847E0"/>
    <w:rsid w:val="0039280A"/>
    <w:rsid w:val="003947EE"/>
    <w:rsid w:val="0039648B"/>
    <w:rsid w:val="003A4224"/>
    <w:rsid w:val="003A466E"/>
    <w:rsid w:val="003A5392"/>
    <w:rsid w:val="003A56B5"/>
    <w:rsid w:val="003A68C6"/>
    <w:rsid w:val="003B47AD"/>
    <w:rsid w:val="003C193E"/>
    <w:rsid w:val="003D4019"/>
    <w:rsid w:val="003E2298"/>
    <w:rsid w:val="003F2841"/>
    <w:rsid w:val="003F33D1"/>
    <w:rsid w:val="003F5005"/>
    <w:rsid w:val="003F66A8"/>
    <w:rsid w:val="004033F8"/>
    <w:rsid w:val="00407500"/>
    <w:rsid w:val="00416235"/>
    <w:rsid w:val="00424D65"/>
    <w:rsid w:val="0042580D"/>
    <w:rsid w:val="00430134"/>
    <w:rsid w:val="00431C7A"/>
    <w:rsid w:val="00434977"/>
    <w:rsid w:val="004358CE"/>
    <w:rsid w:val="004362BD"/>
    <w:rsid w:val="00443086"/>
    <w:rsid w:val="0044656C"/>
    <w:rsid w:val="0045131D"/>
    <w:rsid w:val="00456B22"/>
    <w:rsid w:val="0046612C"/>
    <w:rsid w:val="00473806"/>
    <w:rsid w:val="00476251"/>
    <w:rsid w:val="00477E55"/>
    <w:rsid w:val="00481E06"/>
    <w:rsid w:val="00491903"/>
    <w:rsid w:val="004E4E29"/>
    <w:rsid w:val="004E7E48"/>
    <w:rsid w:val="004F4137"/>
    <w:rsid w:val="004F4544"/>
    <w:rsid w:val="00502CDF"/>
    <w:rsid w:val="005054B7"/>
    <w:rsid w:val="00516981"/>
    <w:rsid w:val="005263D0"/>
    <w:rsid w:val="00532E19"/>
    <w:rsid w:val="00540561"/>
    <w:rsid w:val="00542F25"/>
    <w:rsid w:val="005512F0"/>
    <w:rsid w:val="005643FE"/>
    <w:rsid w:val="00567385"/>
    <w:rsid w:val="00570F88"/>
    <w:rsid w:val="00572B03"/>
    <w:rsid w:val="00590C4B"/>
    <w:rsid w:val="00590C72"/>
    <w:rsid w:val="00597FEF"/>
    <w:rsid w:val="005A3848"/>
    <w:rsid w:val="005A4F2A"/>
    <w:rsid w:val="005A7E58"/>
    <w:rsid w:val="005B363A"/>
    <w:rsid w:val="005B4EB7"/>
    <w:rsid w:val="005C4C14"/>
    <w:rsid w:val="005D31F9"/>
    <w:rsid w:val="005E01B5"/>
    <w:rsid w:val="005E20F1"/>
    <w:rsid w:val="00600AAC"/>
    <w:rsid w:val="00602030"/>
    <w:rsid w:val="00607BC7"/>
    <w:rsid w:val="00615D21"/>
    <w:rsid w:val="0061695C"/>
    <w:rsid w:val="00616FE2"/>
    <w:rsid w:val="00632155"/>
    <w:rsid w:val="00651A32"/>
    <w:rsid w:val="00653181"/>
    <w:rsid w:val="00664588"/>
    <w:rsid w:val="0068242D"/>
    <w:rsid w:val="006A24FD"/>
    <w:rsid w:val="006B005F"/>
    <w:rsid w:val="006E063C"/>
    <w:rsid w:val="006E1892"/>
    <w:rsid w:val="00701CA2"/>
    <w:rsid w:val="00716188"/>
    <w:rsid w:val="007243DA"/>
    <w:rsid w:val="00730E6B"/>
    <w:rsid w:val="00735DB8"/>
    <w:rsid w:val="007464E8"/>
    <w:rsid w:val="00756321"/>
    <w:rsid w:val="00784F78"/>
    <w:rsid w:val="00793E0C"/>
    <w:rsid w:val="007A27EC"/>
    <w:rsid w:val="007B0130"/>
    <w:rsid w:val="007B3E27"/>
    <w:rsid w:val="007B54AC"/>
    <w:rsid w:val="007C064C"/>
    <w:rsid w:val="007C073C"/>
    <w:rsid w:val="007C2B00"/>
    <w:rsid w:val="007D651F"/>
    <w:rsid w:val="007D66B0"/>
    <w:rsid w:val="007E15F4"/>
    <w:rsid w:val="007E2194"/>
    <w:rsid w:val="007F1407"/>
    <w:rsid w:val="007F627E"/>
    <w:rsid w:val="007F7DCA"/>
    <w:rsid w:val="0080314E"/>
    <w:rsid w:val="00803A5C"/>
    <w:rsid w:val="0081323B"/>
    <w:rsid w:val="0082699C"/>
    <w:rsid w:val="0084007F"/>
    <w:rsid w:val="00852AC1"/>
    <w:rsid w:val="00853DD5"/>
    <w:rsid w:val="0086044C"/>
    <w:rsid w:val="00864B3A"/>
    <w:rsid w:val="00893E14"/>
    <w:rsid w:val="008B46D1"/>
    <w:rsid w:val="008B7C30"/>
    <w:rsid w:val="008C64F0"/>
    <w:rsid w:val="008C7AFE"/>
    <w:rsid w:val="008E0915"/>
    <w:rsid w:val="008E34B2"/>
    <w:rsid w:val="008E4AA4"/>
    <w:rsid w:val="008F4964"/>
    <w:rsid w:val="009069FE"/>
    <w:rsid w:val="009177CF"/>
    <w:rsid w:val="00917C98"/>
    <w:rsid w:val="00927F7D"/>
    <w:rsid w:val="00936265"/>
    <w:rsid w:val="00937A9F"/>
    <w:rsid w:val="00940D23"/>
    <w:rsid w:val="00942E8E"/>
    <w:rsid w:val="00947C2A"/>
    <w:rsid w:val="00961EEF"/>
    <w:rsid w:val="009711BE"/>
    <w:rsid w:val="00985225"/>
    <w:rsid w:val="00994B58"/>
    <w:rsid w:val="00996402"/>
    <w:rsid w:val="009975CE"/>
    <w:rsid w:val="009A44FB"/>
    <w:rsid w:val="009A4F3F"/>
    <w:rsid w:val="009C1073"/>
    <w:rsid w:val="009C10FB"/>
    <w:rsid w:val="009C671C"/>
    <w:rsid w:val="009C7B56"/>
    <w:rsid w:val="009E764C"/>
    <w:rsid w:val="009F2DD1"/>
    <w:rsid w:val="009F5A71"/>
    <w:rsid w:val="00A0229B"/>
    <w:rsid w:val="00A056C0"/>
    <w:rsid w:val="00A070BA"/>
    <w:rsid w:val="00A2202F"/>
    <w:rsid w:val="00A279BF"/>
    <w:rsid w:val="00A30A3D"/>
    <w:rsid w:val="00A43DAC"/>
    <w:rsid w:val="00A6073B"/>
    <w:rsid w:val="00A72B5A"/>
    <w:rsid w:val="00A73E65"/>
    <w:rsid w:val="00A77BFF"/>
    <w:rsid w:val="00A92408"/>
    <w:rsid w:val="00A95C2E"/>
    <w:rsid w:val="00AA0872"/>
    <w:rsid w:val="00AA103D"/>
    <w:rsid w:val="00AC11B6"/>
    <w:rsid w:val="00AE57C7"/>
    <w:rsid w:val="00AF27FF"/>
    <w:rsid w:val="00AF70F0"/>
    <w:rsid w:val="00B04839"/>
    <w:rsid w:val="00B13072"/>
    <w:rsid w:val="00B13649"/>
    <w:rsid w:val="00B1631D"/>
    <w:rsid w:val="00B24600"/>
    <w:rsid w:val="00B33295"/>
    <w:rsid w:val="00B4560A"/>
    <w:rsid w:val="00B47619"/>
    <w:rsid w:val="00B66123"/>
    <w:rsid w:val="00B6625E"/>
    <w:rsid w:val="00B70151"/>
    <w:rsid w:val="00B74D75"/>
    <w:rsid w:val="00B75DA7"/>
    <w:rsid w:val="00B768C3"/>
    <w:rsid w:val="00B8055F"/>
    <w:rsid w:val="00B85F40"/>
    <w:rsid w:val="00B94FD3"/>
    <w:rsid w:val="00BA02A9"/>
    <w:rsid w:val="00BA1A05"/>
    <w:rsid w:val="00BA57EE"/>
    <w:rsid w:val="00BB34CC"/>
    <w:rsid w:val="00BD4244"/>
    <w:rsid w:val="00BD4FCA"/>
    <w:rsid w:val="00BF2618"/>
    <w:rsid w:val="00BF3BDA"/>
    <w:rsid w:val="00C07EE1"/>
    <w:rsid w:val="00C265BD"/>
    <w:rsid w:val="00C27E29"/>
    <w:rsid w:val="00C37048"/>
    <w:rsid w:val="00C372E5"/>
    <w:rsid w:val="00C4193B"/>
    <w:rsid w:val="00C46625"/>
    <w:rsid w:val="00C529B9"/>
    <w:rsid w:val="00C60EB3"/>
    <w:rsid w:val="00C70D3B"/>
    <w:rsid w:val="00C71772"/>
    <w:rsid w:val="00C86D82"/>
    <w:rsid w:val="00CA1708"/>
    <w:rsid w:val="00CC1406"/>
    <w:rsid w:val="00CD0068"/>
    <w:rsid w:val="00CD7A17"/>
    <w:rsid w:val="00CE2811"/>
    <w:rsid w:val="00CF6805"/>
    <w:rsid w:val="00D0070E"/>
    <w:rsid w:val="00D13E29"/>
    <w:rsid w:val="00D2484F"/>
    <w:rsid w:val="00D25012"/>
    <w:rsid w:val="00D30E00"/>
    <w:rsid w:val="00D3120E"/>
    <w:rsid w:val="00D338FB"/>
    <w:rsid w:val="00D362BB"/>
    <w:rsid w:val="00D435D9"/>
    <w:rsid w:val="00D5170F"/>
    <w:rsid w:val="00D76029"/>
    <w:rsid w:val="00D8357B"/>
    <w:rsid w:val="00D92724"/>
    <w:rsid w:val="00D9512F"/>
    <w:rsid w:val="00DB09AE"/>
    <w:rsid w:val="00DC0737"/>
    <w:rsid w:val="00DC5367"/>
    <w:rsid w:val="00DC699D"/>
    <w:rsid w:val="00DD0BAD"/>
    <w:rsid w:val="00DE5927"/>
    <w:rsid w:val="00DF3742"/>
    <w:rsid w:val="00DF4170"/>
    <w:rsid w:val="00DF42C8"/>
    <w:rsid w:val="00DF5519"/>
    <w:rsid w:val="00E00B4E"/>
    <w:rsid w:val="00E32BE2"/>
    <w:rsid w:val="00E351F0"/>
    <w:rsid w:val="00E36914"/>
    <w:rsid w:val="00E5301E"/>
    <w:rsid w:val="00E55857"/>
    <w:rsid w:val="00E55EB8"/>
    <w:rsid w:val="00E61167"/>
    <w:rsid w:val="00E703CD"/>
    <w:rsid w:val="00E72F6B"/>
    <w:rsid w:val="00E73EEC"/>
    <w:rsid w:val="00E846F6"/>
    <w:rsid w:val="00E87234"/>
    <w:rsid w:val="00ED1AA6"/>
    <w:rsid w:val="00ED4396"/>
    <w:rsid w:val="00ED55A0"/>
    <w:rsid w:val="00EE7F53"/>
    <w:rsid w:val="00F04AFD"/>
    <w:rsid w:val="00F13E1C"/>
    <w:rsid w:val="00F22712"/>
    <w:rsid w:val="00F253FC"/>
    <w:rsid w:val="00F271F4"/>
    <w:rsid w:val="00F51A32"/>
    <w:rsid w:val="00F52166"/>
    <w:rsid w:val="00F57556"/>
    <w:rsid w:val="00F66BC7"/>
    <w:rsid w:val="00F70309"/>
    <w:rsid w:val="00F7557B"/>
    <w:rsid w:val="00F75AFC"/>
    <w:rsid w:val="00F828E6"/>
    <w:rsid w:val="00F910B5"/>
    <w:rsid w:val="00F97A13"/>
    <w:rsid w:val="00FA1218"/>
    <w:rsid w:val="00FA7F37"/>
    <w:rsid w:val="00FB2ABB"/>
    <w:rsid w:val="00FC2580"/>
    <w:rsid w:val="00FC4381"/>
    <w:rsid w:val="00FD3E0A"/>
    <w:rsid w:val="00FD5FA8"/>
    <w:rsid w:val="00FE5668"/>
    <w:rsid w:val="00FE75C2"/>
    <w:rsid w:val="00FF5F0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E28A4"/>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3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character" w:styleId="Ulstomtale">
    <w:name w:val="Unresolved Mention"/>
    <w:basedOn w:val="Standardskriftforavsnitt"/>
    <w:uiPriority w:val="99"/>
    <w:semiHidden/>
    <w:unhideWhenUsed/>
    <w:rsid w:val="007C2B00"/>
    <w:rPr>
      <w:color w:val="605E5C"/>
      <w:shd w:val="clear" w:color="auto" w:fill="E1DFDD"/>
    </w:rPr>
  </w:style>
  <w:style w:type="paragraph" w:styleId="Revisjon">
    <w:name w:val="Revision"/>
    <w:hidden/>
    <w:uiPriority w:val="99"/>
    <w:semiHidden/>
    <w:rsid w:val="00C60E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kkerhet@oslomet.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 L e g a l ! 2 1 3 4 1 2 8 . 1 < / d o c u m e n t i d >  
     < s e n d e r i d > B E A T R I C E . I G N A C I U S @ F O Y E N . N O < / s e n d e r i d >  
     < s e n d e r e m a i l > B E A T R I C E . I G N A C I U S @ F O Y E N . N O < / s e n d e r e m a i l >  
     < l a s t m o d i f i e d > 2 0 2 4 - 0 1 - 1 7 T 1 5 : 2 2 : 0 0 . 0 0 0 0 0 0 0 + 0 1 : 0 0 < / l a s t m o d i f i e d >  
     < d a t a b a s e > L e g a l < / 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3.xml><?xml version="1.0" encoding="utf-8"?>
<ds:datastoreItem xmlns:ds="http://schemas.openxmlformats.org/officeDocument/2006/customXml" ds:itemID="{FE9F9982-933D-4570-B92A-7BE0FA73365D}">
  <ds:schemaRefs>
    <ds:schemaRef ds:uri="http://www.imanage.com/work/xmlschema"/>
  </ds:schemaRefs>
</ds:datastoreItem>
</file>

<file path=customXml/itemProps4.xml><?xml version="1.0" encoding="utf-8"?>
<ds:datastoreItem xmlns:ds="http://schemas.openxmlformats.org/officeDocument/2006/customXml" ds:itemID="{D8EA1962-D6D0-4EC8-B336-ABD1E4E4B0A5}">
  <ds:schemaRefs>
    <ds:schemaRef ds:uri="http://schemas.openxmlformats.org/officeDocument/2006/bibliography"/>
  </ds:schemaRefs>
</ds:datastoreItem>
</file>

<file path=customXml/itemProps5.xml><?xml version="1.0" encoding="utf-8"?>
<ds:datastoreItem xmlns:ds="http://schemas.openxmlformats.org/officeDocument/2006/customXml" ds:itemID="{8D2EEBD2-87FA-44C8-9085-F8D5A9184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2415</Words>
  <Characters>12802</Characters>
  <Application>Microsoft Office Word</Application>
  <DocSecurity>0</DocSecurity>
  <Lines>106</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Skjæggestad Jacobsen</cp:lastModifiedBy>
  <cp:revision>7</cp:revision>
  <cp:lastPrinted>2014-03-31T17:43:00Z</cp:lastPrinted>
  <dcterms:created xsi:type="dcterms:W3CDTF">2024-03-22T09:31:00Z</dcterms:created>
  <dcterms:modified xsi:type="dcterms:W3CDTF">2024-03-22T09:45:00Z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y fmtid="{D5CDD505-2E9C-101B-9397-08002B2CF9AE}" pid="4" name="PSACClient">
    <vt:lpwstr>45922</vt:lpwstr>
  </property>
  <property fmtid="{D5CDD505-2E9C-101B-9397-08002B2CF9AE}" pid="5" name="PSACMatter">
    <vt:lpwstr>516552</vt:lpwstr>
  </property>
</Properties>
</file>